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关于《文山市林业和草原保护“十四五”规划（征求意见稿）》的起草说明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center"/>
        <w:textAlignment w:val="auto"/>
        <w:rPr>
          <w:rFonts w:hint="eastAsia" w:ascii="Times New Roman" w:hAnsi="Times New Roman" w:eastAsia="方正仿宋_GBK" w:cs="Times New Roman"/>
          <w:sz w:val="30"/>
          <w:szCs w:val="30"/>
          <w:lang w:val="en-US" w:eastAsia="zh-CN"/>
        </w:rPr>
      </w:pPr>
    </w:p>
    <w:p>
      <w:pPr>
        <w:pStyle w:val="3"/>
        <w:keepNext w:val="0"/>
        <w:keepLines w:val="0"/>
        <w:pageBreakBefore w:val="0"/>
        <w:widowControl w:val="0"/>
        <w:numPr>
          <w:ilvl w:val="0"/>
          <w:numId w:val="0"/>
        </w:numPr>
        <w:pBdr>
          <w:bottom w:val="none" w:color="auto" w:sz="0" w:space="0"/>
        </w:pBdr>
        <w:kinsoku/>
        <w:wordWrap/>
        <w:overflowPunct/>
        <w:topLinePunct w:val="0"/>
        <w:autoSpaceDE/>
        <w:autoSpaceDN/>
        <w:bidi w:val="0"/>
        <w:spacing w:line="580" w:lineRule="exact"/>
        <w:ind w:firstLine="643" w:firstLineChars="200"/>
        <w:jc w:val="left"/>
        <w:textAlignment w:val="auto"/>
        <w:rPr>
          <w:rFonts w:hint="eastAsia" w:ascii="Times New Roman" w:hAnsi="Times New Roman" w:eastAsia="方正仿宋_GBK" w:cs="Times New Roman"/>
          <w:b/>
          <w:bCs/>
          <w:sz w:val="32"/>
          <w:szCs w:val="32"/>
          <w:lang w:val="en-US" w:eastAsia="zh-CN"/>
        </w:rPr>
      </w:pPr>
    </w:p>
    <w:p>
      <w:pPr>
        <w:pStyle w:val="3"/>
        <w:keepNext w:val="0"/>
        <w:keepLines w:val="0"/>
        <w:pageBreakBefore w:val="0"/>
        <w:widowControl w:val="0"/>
        <w:numPr>
          <w:ilvl w:val="0"/>
          <w:numId w:val="0"/>
        </w:numPr>
        <w:pBdr>
          <w:bottom w:val="none" w:color="auto" w:sz="0" w:space="0"/>
        </w:pBdr>
        <w:kinsoku/>
        <w:wordWrap/>
        <w:overflowPunct/>
        <w:topLinePunct w:val="0"/>
        <w:autoSpaceDE/>
        <w:autoSpaceDN/>
        <w:bidi w:val="0"/>
        <w:spacing w:line="580" w:lineRule="exact"/>
        <w:ind w:firstLine="643" w:firstLineChars="200"/>
        <w:jc w:val="left"/>
        <w:textAlignment w:val="auto"/>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一、起草背景和过程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文山</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val="en-US" w:eastAsia="zh-CN"/>
        </w:rPr>
        <w:t>林草局</w:t>
      </w:r>
      <w:r>
        <w:rPr>
          <w:rFonts w:hint="eastAsia" w:ascii="Times New Roman" w:hAnsi="Times New Roman" w:eastAsia="方正仿宋_GBK" w:cs="Times New Roman"/>
          <w:sz w:val="32"/>
          <w:szCs w:val="32"/>
          <w:lang w:val="en-US" w:eastAsia="zh-CN"/>
        </w:rPr>
        <w:t>于2020年7月</w:t>
      </w:r>
      <w:r>
        <w:rPr>
          <w:rFonts w:hint="default" w:ascii="Times New Roman" w:hAnsi="Times New Roman" w:eastAsia="方正仿宋_GBK" w:cs="Times New Roman"/>
          <w:sz w:val="32"/>
          <w:szCs w:val="32"/>
          <w:lang w:val="en-US" w:eastAsia="zh-CN"/>
        </w:rPr>
        <w:t>委托</w:t>
      </w:r>
      <w:r>
        <w:rPr>
          <w:rFonts w:hint="eastAsia" w:ascii="Times New Roman" w:hAnsi="Times New Roman" w:eastAsia="方正仿宋_GBK" w:cs="Times New Roman"/>
          <w:sz w:val="32"/>
          <w:szCs w:val="32"/>
          <w:lang w:val="en-US" w:eastAsia="zh-CN"/>
        </w:rPr>
        <w:t>国家林草局昆明勘察设计</w:t>
      </w:r>
      <w:r>
        <w:rPr>
          <w:rFonts w:hint="default" w:ascii="Times New Roman" w:hAnsi="Times New Roman" w:eastAsia="方正仿宋_GBK" w:cs="Times New Roman"/>
          <w:sz w:val="32"/>
          <w:szCs w:val="32"/>
          <w:lang w:val="en-US" w:eastAsia="zh-CN"/>
        </w:rPr>
        <w:t>院，启动了</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文山</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val="en-US" w:eastAsia="zh-CN"/>
        </w:rPr>
        <w:t>林业和草原保护发展“十四五”规划</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的编制工作。2021年2月至</w:t>
      </w:r>
      <w:r>
        <w:rPr>
          <w:rFonts w:hint="eastAsia" w:ascii="Times New Roman" w:hAnsi="Times New Roman" w:eastAsia="方正仿宋_GBK" w:cs="Times New Roman"/>
          <w:sz w:val="32"/>
          <w:szCs w:val="32"/>
          <w:lang w:val="en-US" w:eastAsia="zh-CN"/>
        </w:rPr>
        <w:t>2022年2</w:t>
      </w:r>
      <w:r>
        <w:rPr>
          <w:rFonts w:hint="default" w:ascii="Times New Roman" w:hAnsi="Times New Roman" w:eastAsia="方正仿宋_GBK" w:cs="Times New Roman"/>
          <w:sz w:val="32"/>
          <w:szCs w:val="32"/>
          <w:lang w:val="en-US" w:eastAsia="zh-CN"/>
        </w:rPr>
        <w:t>月初，规划编制组在充分开展调研的基础上，完成规划初稿及征求意见稿的编制，期间，征求</w:t>
      </w:r>
      <w:r>
        <w:rPr>
          <w:rFonts w:hint="eastAsia" w:ascii="Times New Roman" w:hAnsi="Times New Roman" w:eastAsia="方正仿宋_GBK" w:cs="Times New Roman"/>
          <w:sz w:val="32"/>
          <w:szCs w:val="32"/>
          <w:lang w:val="en-US" w:eastAsia="zh-CN"/>
        </w:rPr>
        <w:t>局机关</w:t>
      </w:r>
      <w:r>
        <w:rPr>
          <w:rFonts w:hint="default" w:ascii="Times New Roman" w:hAnsi="Times New Roman" w:eastAsia="方正仿宋_GBK" w:cs="Times New Roman"/>
          <w:sz w:val="32"/>
          <w:szCs w:val="32"/>
          <w:lang w:val="en-US" w:eastAsia="zh-CN"/>
        </w:rPr>
        <w:t>各科室、</w:t>
      </w:r>
      <w:r>
        <w:rPr>
          <w:rFonts w:hint="eastAsia" w:ascii="Times New Roman" w:hAnsi="Times New Roman" w:eastAsia="方正仿宋_GBK" w:cs="Times New Roman"/>
          <w:sz w:val="32"/>
          <w:szCs w:val="32"/>
          <w:lang w:val="en-US" w:eastAsia="zh-CN"/>
        </w:rPr>
        <w:t>下属各单位修改意见建议，</w:t>
      </w:r>
      <w:r>
        <w:rPr>
          <w:rFonts w:hint="default" w:ascii="Times New Roman" w:hAnsi="Times New Roman" w:eastAsia="方正仿宋_GBK" w:cs="Times New Roman"/>
          <w:sz w:val="32"/>
          <w:szCs w:val="32"/>
          <w:lang w:val="en-US" w:eastAsia="zh-CN"/>
        </w:rPr>
        <w:t>组织过若干次会议对规划</w:t>
      </w:r>
      <w:r>
        <w:rPr>
          <w:rFonts w:hint="eastAsia" w:ascii="Times New Roman" w:hAnsi="Times New Roman" w:eastAsia="方正仿宋_GBK" w:cs="Times New Roman"/>
          <w:sz w:val="32"/>
          <w:szCs w:val="32"/>
          <w:lang w:val="en-US" w:eastAsia="zh-CN"/>
        </w:rPr>
        <w:t>初</w:t>
      </w:r>
      <w:r>
        <w:rPr>
          <w:rFonts w:hint="default" w:ascii="Times New Roman" w:hAnsi="Times New Roman" w:eastAsia="方正仿宋_GBK" w:cs="Times New Roman"/>
          <w:sz w:val="32"/>
          <w:szCs w:val="32"/>
          <w:lang w:val="en-US" w:eastAsia="zh-CN"/>
        </w:rPr>
        <w:t>稿进行意见征求。规划编制过程</w:t>
      </w:r>
      <w:r>
        <w:rPr>
          <w:rFonts w:hint="eastAsia" w:ascii="Times New Roman" w:hAnsi="Times New Roman" w:eastAsia="方正仿宋_GBK" w:cs="Times New Roman"/>
          <w:sz w:val="32"/>
          <w:szCs w:val="32"/>
          <w:lang w:val="en-US" w:eastAsia="zh-CN"/>
        </w:rPr>
        <w:t>始终</w:t>
      </w:r>
      <w:r>
        <w:rPr>
          <w:rFonts w:hint="default" w:ascii="Times New Roman" w:hAnsi="Times New Roman" w:eastAsia="方正仿宋_GBK" w:cs="Times New Roman"/>
          <w:sz w:val="32"/>
          <w:szCs w:val="32"/>
          <w:lang w:val="en-US" w:eastAsia="zh-CN"/>
        </w:rPr>
        <w:t>中与省</w:t>
      </w:r>
      <w:r>
        <w:rPr>
          <w:rFonts w:hint="eastAsia" w:ascii="Times New Roman" w:hAnsi="Times New Roman" w:eastAsia="方正仿宋_GBK" w:cs="Times New Roman"/>
          <w:sz w:val="32"/>
          <w:szCs w:val="32"/>
          <w:lang w:val="en-US" w:eastAsia="zh-CN"/>
        </w:rPr>
        <w:t>、州</w:t>
      </w:r>
      <w:r>
        <w:rPr>
          <w:rFonts w:hint="default" w:ascii="Times New Roman" w:hAnsi="Times New Roman" w:eastAsia="方正仿宋_GBK" w:cs="Times New Roman"/>
          <w:sz w:val="32"/>
          <w:szCs w:val="32"/>
          <w:lang w:val="en-US" w:eastAsia="zh-CN"/>
        </w:rPr>
        <w:t>林草</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十四五</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规划、国家和省级“双重”规划等上位规划进行了动态衔接。202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lang w:val="en-US" w:eastAsia="zh-CN"/>
        </w:rPr>
        <w:t>日，召开了规划专家评审</w:t>
      </w:r>
      <w:r>
        <w:rPr>
          <w:rFonts w:hint="eastAsia" w:ascii="Times New Roman" w:hAnsi="Times New Roman" w:eastAsia="方正仿宋_GBK" w:cs="Times New Roman"/>
          <w:sz w:val="32"/>
          <w:szCs w:val="32"/>
          <w:lang w:val="en-US" w:eastAsia="zh-CN"/>
        </w:rPr>
        <w:t>论证</w:t>
      </w:r>
      <w:r>
        <w:rPr>
          <w:rFonts w:hint="default" w:ascii="Times New Roman" w:hAnsi="Times New Roman" w:eastAsia="方正仿宋_GBK" w:cs="Times New Roman"/>
          <w:sz w:val="32"/>
          <w:szCs w:val="32"/>
          <w:lang w:val="en-US" w:eastAsia="zh-CN"/>
        </w:rPr>
        <w:t>会，来自</w:t>
      </w:r>
      <w:r>
        <w:rPr>
          <w:rFonts w:hint="eastAsia" w:ascii="Times New Roman" w:hAnsi="Times New Roman" w:eastAsia="方正仿宋_GBK" w:cs="Times New Roman"/>
          <w:sz w:val="32"/>
          <w:szCs w:val="32"/>
          <w:lang w:val="en-US" w:eastAsia="zh-CN"/>
        </w:rPr>
        <w:t>市发改</w:t>
      </w:r>
      <w:bookmarkStart w:id="0" w:name="_GoBack"/>
      <w:bookmarkEnd w:id="0"/>
      <w:r>
        <w:rPr>
          <w:rFonts w:hint="eastAsia" w:ascii="Times New Roman" w:hAnsi="Times New Roman" w:eastAsia="方正仿宋_GBK" w:cs="Times New Roman"/>
          <w:sz w:val="32"/>
          <w:szCs w:val="32"/>
          <w:lang w:val="en-US" w:eastAsia="zh-CN"/>
        </w:rPr>
        <w:t>局、</w:t>
      </w:r>
      <w:r>
        <w:rPr>
          <w:rFonts w:hint="default" w:ascii="Times New Roman" w:hAnsi="Times New Roman" w:eastAsia="方正仿宋_GBK" w:cs="Times New Roman"/>
          <w:sz w:val="32"/>
          <w:szCs w:val="32"/>
          <w:lang w:val="en-US" w:eastAsia="zh-CN"/>
        </w:rPr>
        <w:t>农业农村局、生态环境</w:t>
      </w:r>
      <w:r>
        <w:rPr>
          <w:rFonts w:hint="eastAsia" w:ascii="Times New Roman" w:hAnsi="Times New Roman" w:eastAsia="方正仿宋_GBK" w:cs="Times New Roman"/>
          <w:sz w:val="32"/>
          <w:szCs w:val="32"/>
          <w:lang w:val="en-US" w:eastAsia="zh-CN"/>
        </w:rPr>
        <w:t>分</w:t>
      </w:r>
      <w:r>
        <w:rPr>
          <w:rFonts w:hint="default" w:ascii="Times New Roman" w:hAnsi="Times New Roman" w:eastAsia="方正仿宋_GBK" w:cs="Times New Roman"/>
          <w:sz w:val="32"/>
          <w:szCs w:val="32"/>
          <w:lang w:val="en-US" w:eastAsia="zh-CN"/>
        </w:rPr>
        <w:t>局、自然资源和规划局、</w:t>
      </w:r>
      <w:r>
        <w:rPr>
          <w:rFonts w:hint="eastAsia" w:ascii="Times New Roman" w:hAnsi="Times New Roman" w:eastAsia="方正仿宋_GBK" w:cs="Times New Roman"/>
          <w:sz w:val="32"/>
          <w:szCs w:val="32"/>
          <w:lang w:val="en-US" w:eastAsia="zh-CN"/>
        </w:rPr>
        <w:t>水务局、财政局、林草局6</w:t>
      </w:r>
      <w:r>
        <w:rPr>
          <w:rFonts w:hint="default" w:ascii="Times New Roman" w:hAnsi="Times New Roman" w:eastAsia="方正仿宋_GBK" w:cs="Times New Roman"/>
          <w:sz w:val="32"/>
          <w:szCs w:val="32"/>
          <w:lang w:val="en-US" w:eastAsia="zh-CN"/>
        </w:rPr>
        <w:t>家单位的</w:t>
      </w:r>
      <w:r>
        <w:rPr>
          <w:rFonts w:hint="eastAsia"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lang w:val="en-US" w:eastAsia="zh-CN"/>
        </w:rPr>
        <w:t>位专家参与规划评审，并对规划提出了</w:t>
      </w:r>
      <w:r>
        <w:rPr>
          <w:rFonts w:hint="eastAsia"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lang w:val="en-US" w:eastAsia="zh-CN"/>
        </w:rPr>
        <w:t>条意见，规划编制组梳理采纳了全部意见并修改完善。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二、主要框架和内容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规划》在编制过程中做到了全面贯彻落实习近平总书记考察云南重要讲话精神，重点落实争当全国生态文明建设排头兵战略定位、筑牢西南生态安全屏障、提升“两王国一花园”影响力；全面贯彻落实习近平生态文明思想、绿水青山就是金山银山和山水林田湖草系统治理理念；全面贯彻落实2015年以来省委、省政府、州委州政府</w:t>
      </w:r>
      <w:r>
        <w:rPr>
          <w:rFonts w:hint="eastAsia" w:ascii="Times New Roman" w:hAnsi="Times New Roman" w:eastAsia="方正仿宋_GBK" w:cs="Times New Roman"/>
          <w:sz w:val="32"/>
          <w:szCs w:val="32"/>
          <w:lang w:val="en-US" w:eastAsia="zh-CN"/>
        </w:rPr>
        <w:t>、市委市政府</w:t>
      </w:r>
      <w:r>
        <w:rPr>
          <w:rFonts w:hint="default" w:ascii="Times New Roman" w:hAnsi="Times New Roman" w:eastAsia="方正仿宋_GBK" w:cs="Times New Roman"/>
          <w:sz w:val="32"/>
          <w:szCs w:val="32"/>
          <w:lang w:val="en-US" w:eastAsia="zh-CN"/>
        </w:rPr>
        <w:t>形成的一系列行之有效的重大战略和决策部署。与国家和省林草保护发展“十四五”规划紧密结合；与国家出台的长江经济带、“一带一路”、西部大开发、乡村振兴等重大战略结合；与省级出台的建设成为中国最美丽省份、打造世界一流“三张牌”重大战略结合；与国家和省级“双重”规划及其子规划和其他省级</w:t>
      </w:r>
      <w:r>
        <w:rPr>
          <w:rFonts w:hint="eastAsia" w:ascii="Times New Roman" w:hAnsi="Times New Roman" w:eastAsia="方正仿宋_GBK" w:cs="Times New Roman"/>
          <w:sz w:val="32"/>
          <w:szCs w:val="32"/>
          <w:lang w:val="en-US" w:eastAsia="zh-CN"/>
        </w:rPr>
        <w:t>、州级</w:t>
      </w:r>
      <w:r>
        <w:rPr>
          <w:rFonts w:hint="default" w:ascii="Times New Roman" w:hAnsi="Times New Roman" w:eastAsia="方正仿宋_GBK" w:cs="Times New Roman"/>
          <w:sz w:val="32"/>
          <w:szCs w:val="32"/>
          <w:lang w:val="en-US" w:eastAsia="zh-CN"/>
        </w:rPr>
        <w:t>重点专项规划紧密结合。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规划》共包括10个章节，分别是第一章发展基础；第二章总体思路；第三章科学推进国土山川绿化；第四章加强林草资源的保护监管；第五章完善自然保护地体系建设；第六章加强野生动植物保护；第七章发挥林草优势助力乡村振兴；第八章深化重点领域改革与制度体系建设；第九章全面提升支撑保障体系建设</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第十章保障措施</w:t>
      </w:r>
      <w:r>
        <w:rPr>
          <w:rFonts w:hint="eastAsia" w:ascii="Times New Roman" w:hAnsi="Times New Roman" w:eastAsia="方正仿宋_GBK" w:cs="Times New Roman"/>
          <w:sz w:val="32"/>
          <w:szCs w:val="32"/>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wZDFlMWE2NmUwMDViNTVjMmMyNDc2YjJkNGVkODcifQ=="/>
  </w:docVars>
  <w:rsids>
    <w:rsidRoot w:val="00997FEF"/>
    <w:rsid w:val="00262AE9"/>
    <w:rsid w:val="00345C4C"/>
    <w:rsid w:val="00997FEF"/>
    <w:rsid w:val="00A057FB"/>
    <w:rsid w:val="0A927B88"/>
    <w:rsid w:val="0E34320A"/>
    <w:rsid w:val="15CE47F9"/>
    <w:rsid w:val="3CEF5C49"/>
    <w:rsid w:val="490E3CB9"/>
    <w:rsid w:val="4C604D1E"/>
    <w:rsid w:val="4F0E26B4"/>
    <w:rsid w:val="681717E9"/>
    <w:rsid w:val="79984D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52flin</Company>
  <Pages>2</Pages>
  <Words>936</Words>
  <Characters>955</Characters>
  <Lines>1</Lines>
  <Paragraphs>1</Paragraphs>
  <TotalTime>5</TotalTime>
  <ScaleCrop>false</ScaleCrop>
  <LinksUpToDate>false</LinksUpToDate>
  <CharactersWithSpaces>955</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2023-08-15T08:00:00Z</dcterms:created>
  <dc:creator>Windows 用户</dc:creator>
  <cp:lastModifiedBy>樱花草1417572470</cp:lastModifiedBy>
  <dcterms:modified xsi:type="dcterms:W3CDTF">2024-01-26T02:52:53Z</dcterms:modified>
  <dc:title>关于文山市林业和草原保护十四五规划送审稿的起草说明文山市林业和草原局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D14D49076ED2434D8B689C181F1CFC24_13</vt:lpwstr>
  </property>
</Properties>
</file>