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line="1218" w:lineRule="exact"/>
        <w:ind w:right="161" w:firstLine="5760" w:firstLineChars="1800"/>
        <w:jc w:val="both"/>
        <w:rPr>
          <w:rFonts w:hint="default" w:ascii="Times New Roman" w:hAnsi="Times New Roman" w:eastAsia="方正小标宋_GBK" w:cs="Times New Roman"/>
          <w:b w:val="0"/>
          <w:bCs w:val="0"/>
          <w:color w:val="auto"/>
          <w:sz w:val="32"/>
          <w:szCs w:val="32"/>
          <w:u w:val="none"/>
          <w:lang w:val="en-US" w:eastAsia="zh-CN"/>
        </w:rPr>
      </w:pPr>
    </w:p>
    <w:p>
      <w:pPr>
        <w:spacing w:before="59" w:line="1218" w:lineRule="exact"/>
        <w:ind w:left="0" w:right="161" w:firstLine="0"/>
        <w:jc w:val="center"/>
        <w:rPr>
          <w:rFonts w:hint="default" w:ascii="Times New Roman" w:hAnsi="Times New Roman" w:eastAsia="方正小标宋_GBK" w:cs="Times New Roman"/>
          <w:color w:val="auto"/>
          <w:sz w:val="72"/>
          <w:u w:val="none"/>
        </w:rPr>
      </w:pPr>
      <w:r>
        <w:rPr>
          <w:rFonts w:hint="default" w:ascii="Times New Roman" w:hAnsi="Times New Roman" w:eastAsia="方正小标宋_GBK" w:cs="Times New Roman"/>
          <w:b w:val="0"/>
          <w:bCs w:val="0"/>
          <w:color w:val="auto"/>
          <w:sz w:val="72"/>
          <w:u w:val="none"/>
          <w:lang w:eastAsia="zh-CN"/>
        </w:rPr>
        <w:t>文山市</w:t>
      </w:r>
      <w:r>
        <w:rPr>
          <w:rFonts w:hint="default" w:ascii="Times New Roman" w:hAnsi="Times New Roman" w:eastAsia="方正小标宋_GBK" w:cs="Times New Roman"/>
          <w:color w:val="auto"/>
          <w:sz w:val="72"/>
          <w:u w:val="none"/>
        </w:rPr>
        <w:t>儿童发展规划</w:t>
      </w:r>
    </w:p>
    <w:p>
      <w:pPr>
        <w:spacing w:before="0" w:line="793" w:lineRule="exact"/>
        <w:ind w:left="0" w:right="157" w:firstLine="0"/>
        <w:jc w:val="center"/>
        <w:rPr>
          <w:rFonts w:hint="default" w:ascii="Times New Roman" w:hAnsi="Times New Roman" w:cs="Times New Roman"/>
          <w:color w:val="auto"/>
          <w:sz w:val="56"/>
          <w:szCs w:val="32"/>
          <w:u w:val="none"/>
          <w:lang w:val="en-US" w:eastAsia="zh-CN" w:bidi="ar-SA"/>
        </w:rPr>
      </w:pPr>
      <w:r>
        <w:rPr>
          <w:rFonts w:hint="default" w:ascii="Times New Roman" w:hAnsi="Times New Roman" w:eastAsia="方正小标宋_GBK" w:cs="Times New Roman"/>
          <w:color w:val="auto"/>
          <w:sz w:val="48"/>
          <w:u w:val="none"/>
        </w:rPr>
        <w:t>（2021-2030年）</w:t>
      </w:r>
    </w:p>
    <w:p>
      <w:pPr>
        <w:keepNext w:val="0"/>
        <w:keepLines w:val="0"/>
        <w:pageBreakBefore w:val="0"/>
        <w:widowControl w:val="0"/>
        <w:kinsoku/>
        <w:wordWrap/>
        <w:overflowPunct/>
        <w:topLinePunct w:val="0"/>
        <w:autoSpaceDE w:val="0"/>
        <w:autoSpaceDN w:val="0"/>
        <w:bidi w:val="0"/>
        <w:adjustRightInd/>
        <w:snapToGrid/>
        <w:spacing w:line="560" w:lineRule="exact"/>
        <w:ind w:firstLine="3092" w:firstLineChars="700"/>
        <w:jc w:val="left"/>
        <w:textAlignment w:val="auto"/>
        <w:outlineLvl w:val="0"/>
        <w:rPr>
          <w:rFonts w:hint="default" w:ascii="Times New Roman" w:hAnsi="Times New Roman" w:eastAsia="方正楷体_GBK" w:cs="Times New Roman"/>
          <w:b/>
          <w:bCs/>
          <w:color w:val="auto"/>
          <w:sz w:val="44"/>
          <w:szCs w:val="44"/>
          <w:u w:val="none"/>
          <w:lang w:val="en-US" w:eastAsia="zh-CN"/>
        </w:rPr>
      </w:pPr>
      <w:bookmarkStart w:id="0" w:name="_Toc29106"/>
      <w:r>
        <w:rPr>
          <w:rFonts w:hint="eastAsia" w:ascii="Times New Roman" w:hAnsi="Times New Roman" w:eastAsia="方正楷体_GBK" w:cs="Times New Roman"/>
          <w:b/>
          <w:bCs/>
          <w:color w:val="auto"/>
          <w:sz w:val="44"/>
          <w:szCs w:val="44"/>
          <w:u w:val="none"/>
          <w:lang w:val="en-US" w:eastAsia="zh-CN"/>
        </w:rPr>
        <w:t>征求意见</w:t>
      </w:r>
      <w:r>
        <w:rPr>
          <w:rFonts w:hint="default" w:ascii="Times New Roman" w:hAnsi="Times New Roman" w:eastAsia="方正楷体_GBK" w:cs="Times New Roman"/>
          <w:b/>
          <w:bCs/>
          <w:color w:val="auto"/>
          <w:sz w:val="44"/>
          <w:szCs w:val="44"/>
          <w:u w:val="none"/>
          <w:lang w:val="en-US" w:eastAsia="zh-CN"/>
        </w:rPr>
        <w:t>稿</w:t>
      </w:r>
      <w:bookmarkEnd w:id="0"/>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0" w:after="0" w:line="240" w:lineRule="auto"/>
        <w:ind w:left="0" w:right="0"/>
        <w:jc w:val="left"/>
        <w:rPr>
          <w:rFonts w:hint="default" w:ascii="Times New Roman" w:hAnsi="Times New Roman" w:eastAsia="仿宋_GB2312" w:cs="Times New Roman"/>
          <w:color w:val="auto"/>
          <w:sz w:val="56"/>
          <w:szCs w:val="32"/>
          <w:u w:val="none"/>
          <w:lang w:val="en-US" w:eastAsia="en-US" w:bidi="ar-SA"/>
        </w:rPr>
      </w:pPr>
    </w:p>
    <w:p>
      <w:pPr>
        <w:widowControl w:val="0"/>
        <w:autoSpaceDE w:val="0"/>
        <w:autoSpaceDN w:val="0"/>
        <w:spacing w:before="2" w:after="0" w:line="240" w:lineRule="auto"/>
        <w:ind w:left="0" w:right="0"/>
        <w:jc w:val="left"/>
        <w:rPr>
          <w:rFonts w:hint="default" w:ascii="Times New Roman" w:hAnsi="Times New Roman" w:eastAsia="仿宋_GB2312" w:cs="Times New Roman"/>
          <w:color w:val="auto"/>
          <w:sz w:val="29"/>
          <w:szCs w:val="32"/>
          <w:u w:val="none"/>
          <w:lang w:val="en-US" w:eastAsia="en-US" w:bidi="ar-SA"/>
        </w:rPr>
      </w:pPr>
    </w:p>
    <w:p>
      <w:pPr>
        <w:widowControl w:val="0"/>
        <w:autoSpaceDE w:val="0"/>
        <w:autoSpaceDN w:val="0"/>
        <w:spacing w:before="0" w:after="0" w:line="240" w:lineRule="auto"/>
        <w:ind w:left="0" w:right="160"/>
        <w:jc w:val="center"/>
        <w:rPr>
          <w:rFonts w:hint="default" w:ascii="Times New Roman" w:hAnsi="Times New Roman" w:eastAsia="黑体" w:cs="Times New Roman"/>
          <w:color w:val="auto"/>
          <w:sz w:val="32"/>
          <w:szCs w:val="32"/>
          <w:u w:val="none"/>
          <w:lang w:val="en-US" w:eastAsia="en-US" w:bidi="ar-SA"/>
        </w:rPr>
      </w:pPr>
      <w:r>
        <w:rPr>
          <w:rFonts w:hint="default" w:ascii="Times New Roman" w:hAnsi="Times New Roman" w:eastAsia="黑体" w:cs="Times New Roman"/>
          <w:color w:val="auto"/>
          <w:sz w:val="32"/>
          <w:szCs w:val="32"/>
          <w:u w:val="none"/>
          <w:lang w:val="en-US" w:eastAsia="en-US" w:bidi="ar-SA"/>
        </w:rPr>
        <w:t>202</w:t>
      </w:r>
      <w:r>
        <w:rPr>
          <w:rFonts w:hint="default" w:ascii="Times New Roman" w:hAnsi="Times New Roman" w:eastAsia="黑体" w:cs="Times New Roman"/>
          <w:color w:val="auto"/>
          <w:sz w:val="32"/>
          <w:szCs w:val="32"/>
          <w:u w:val="none"/>
          <w:lang w:val="en-US" w:eastAsia="zh-CN" w:bidi="ar-SA"/>
        </w:rPr>
        <w:t>2</w:t>
      </w:r>
      <w:r>
        <w:rPr>
          <w:rFonts w:hint="default" w:ascii="Times New Roman" w:hAnsi="Times New Roman" w:eastAsia="黑体" w:cs="Times New Roman"/>
          <w:color w:val="auto"/>
          <w:spacing w:val="-54"/>
          <w:sz w:val="32"/>
          <w:szCs w:val="32"/>
          <w:u w:val="none"/>
          <w:lang w:val="en-US" w:eastAsia="en-US" w:bidi="ar-SA"/>
        </w:rPr>
        <w:t xml:space="preserve"> 年 </w:t>
      </w:r>
      <w:r>
        <w:rPr>
          <w:rFonts w:hint="default" w:ascii="Times New Roman" w:hAnsi="Times New Roman" w:eastAsia="黑体" w:cs="Times New Roman"/>
          <w:color w:val="auto"/>
          <w:spacing w:val="-54"/>
          <w:sz w:val="32"/>
          <w:szCs w:val="32"/>
          <w:u w:val="none"/>
          <w:lang w:val="en-US" w:eastAsia="zh-CN" w:bidi="ar-SA"/>
        </w:rPr>
        <w:t xml:space="preserve"> </w:t>
      </w:r>
      <w:bookmarkStart w:id="34" w:name="_GoBack"/>
      <w:r>
        <w:rPr>
          <w:rFonts w:hint="default" w:ascii="Times New Roman" w:hAnsi="Times New Roman" w:eastAsia="黑体" w:cs="Times New Roman"/>
          <w:color w:val="auto"/>
          <w:spacing w:val="-54"/>
          <w:sz w:val="32"/>
          <w:szCs w:val="32"/>
          <w:u w:val="none"/>
          <w:lang w:val="en-US" w:eastAsia="zh-CN" w:bidi="ar-SA"/>
        </w:rPr>
        <w:t xml:space="preserve"> 5</w:t>
      </w:r>
      <w:bookmarkEnd w:id="34"/>
      <w:r>
        <w:rPr>
          <w:rFonts w:hint="default" w:ascii="Times New Roman" w:hAnsi="Times New Roman" w:eastAsia="黑体" w:cs="Times New Roman"/>
          <w:color w:val="auto"/>
          <w:spacing w:val="-41"/>
          <w:sz w:val="32"/>
          <w:szCs w:val="32"/>
          <w:u w:val="none"/>
          <w:lang w:val="en-US" w:eastAsia="en-US" w:bidi="ar-SA"/>
        </w:rPr>
        <w:t>月</w:t>
      </w:r>
    </w:p>
    <w:p>
      <w:pPr>
        <w:spacing w:after="0"/>
        <w:jc w:val="center"/>
        <w:rPr>
          <w:rFonts w:hint="default" w:ascii="Times New Roman" w:hAnsi="Times New Roman" w:eastAsia="黑体" w:cs="Times New Roman"/>
          <w:color w:val="auto"/>
          <w:u w:val="none"/>
        </w:rPr>
        <w:sectPr>
          <w:headerReference r:id="rId5" w:type="default"/>
          <w:footerReference r:id="rId6" w:type="default"/>
          <w:pgSz w:w="11906" w:h="16838"/>
          <w:pgMar w:top="1440" w:right="1800" w:bottom="1440" w:left="1800" w:header="851" w:footer="992" w:gutter="0"/>
          <w:cols w:space="425" w:num="1"/>
          <w:docGrid w:type="lines" w:linePitch="312" w:charSpace="0"/>
        </w:sectPr>
      </w:pPr>
    </w:p>
    <w:sdt>
      <w:sdtPr>
        <w:rPr>
          <w:rFonts w:hint="eastAsia" w:ascii="方正小标宋_GBK" w:hAnsi="方正小标宋_GBK" w:eastAsia="方正小标宋_GBK" w:cs="方正小标宋_GBK"/>
          <w:sz w:val="44"/>
          <w:szCs w:val="44"/>
          <w:lang w:val="en-US" w:eastAsia="en-US" w:bidi="ar-SA"/>
        </w:rPr>
        <w:id w:val="147456959"/>
        <w15:color w:val="DBDBDB"/>
        <w:docPartObj>
          <w:docPartGallery w:val="Table of Contents"/>
          <w:docPartUnique/>
        </w:docPartObj>
      </w:sdtPr>
      <w:sdtEndPr>
        <w:rPr>
          <w:rFonts w:hint="eastAsia" w:ascii="方正小标宋_GBK" w:hAnsi="方正小标宋_GBK" w:eastAsia="方正小标宋_GBK" w:cs="方正小标宋_GBK"/>
          <w:sz w:val="44"/>
          <w:szCs w:val="44"/>
          <w:lang w:val="en-US" w:eastAsia="en-US" w:bidi="ar-SA"/>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pStyle w:val="12"/>
            <w:tabs>
              <w:tab w:val="right" w:leader="dot" w:pos="8849"/>
            </w:tabs>
          </w:pPr>
          <w:r>
            <w:fldChar w:fldCharType="begin"/>
          </w:r>
          <w:r>
            <w:instrText xml:space="preserve">TOC \o "1-3" \h \u </w:instrText>
          </w:r>
          <w:r>
            <w:fldChar w:fldCharType="separate"/>
          </w:r>
        </w:p>
        <w:p>
          <w:pPr>
            <w:pStyle w:val="12"/>
            <w:keepNext w:val="0"/>
            <w:keepLines w:val="0"/>
            <w:pageBreakBefore w:val="0"/>
            <w:widowControl/>
            <w:tabs>
              <w:tab w:val="right" w:pos="2400"/>
              <w:tab w:val="right" w:leader="dot" w:pos="8849"/>
            </w:tabs>
            <w:kinsoku/>
            <w:wordWrap/>
            <w:overflowPunct/>
            <w:topLinePunct w:val="0"/>
            <w:autoSpaceDE/>
            <w:autoSpaceDN/>
            <w:bidi w:val="0"/>
            <w:adjustRightInd/>
            <w:snapToGrid/>
            <w:spacing w:line="560" w:lineRule="exact"/>
            <w:jc w:val="distribute"/>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_Toc4083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序言</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_Toc4083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2"/>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_Toc11825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一、指导思想、基本原则和总体目标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_Toc11825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_Toc6694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（一）指导思想</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_Toc6694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_Toc11564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（二）基本原则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_Toc11564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_Toc11929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（三）总体目标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_Toc11929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2"/>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_Toc32071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二、发展领域、主要目标和策略措施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_Toc32071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_Toc20747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（一）儿童与健康</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_Toc20747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_Toc11337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_Toc11337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_Toc5407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_Toc5407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_Toc12374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（二）儿童与安全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_Toc12374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_Toc19770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_Toc19770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_Toc7144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_Toc7144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_Toc11519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（三）儿童与教育</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_Toc11519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_Toc31425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_Toc31425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_Toc25882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_Toc25882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19</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_Toc26402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（四）儿童与福利</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_Toc26402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_Toc10747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_Toc10747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_Toc8721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_Toc8721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_Toc26015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（五）儿童与家庭</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_Toc26015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_Toc3699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_Toc3699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_Toc5296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_Toc5296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_Toc11837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 儿童与环境</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_Toc11837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_Toc4471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_Toc4471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_Toc31258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_Toc31258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_Toc25454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（七）儿童与法律保护</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_Toc25454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2"/>
            <w:keepNext w:val="0"/>
            <w:keepLines w:val="0"/>
            <w:pageBreakBefore w:val="0"/>
            <w:widowControl/>
            <w:tabs>
              <w:tab w:val="right" w:leader="dot" w:pos="8849"/>
            </w:tabs>
            <w:kinsoku/>
            <w:wordWrap/>
            <w:overflowPunct/>
            <w:topLinePunct w:val="0"/>
            <w:autoSpaceDE/>
            <w:autoSpaceDN/>
            <w:bidi w:val="0"/>
            <w:adjustRightInd/>
            <w:snapToGrid/>
            <w:spacing w:line="560" w:lineRule="exact"/>
            <w:ind w:firstLine="840" w:firstLineChars="3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_Toc28457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主要目标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_Toc28457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4"/>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_Toc8324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策略措施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_Toc8324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2"/>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_Toc19394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三、组织实施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_Toc19394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2"/>
            <w:keepNext w:val="0"/>
            <w:keepLines w:val="0"/>
            <w:pageBreakBefore w:val="0"/>
            <w:widowControl/>
            <w:tabs>
              <w:tab w:val="right" w:leader="dot" w:pos="8849"/>
            </w:tabs>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_Toc29537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四、监测评估</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_Toc29537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3"/>
            <w:tabs>
              <w:tab w:val="right" w:leader="dot" w:pos="8849"/>
            </w:tabs>
            <w:rPr>
              <w:rFonts w:hint="eastAsia" w:ascii="仿宋" w:hAnsi="仿宋" w:eastAsia="仿宋" w:cs="仿宋"/>
              <w:sz w:val="28"/>
              <w:szCs w:val="28"/>
            </w:rPr>
          </w:pPr>
        </w:p>
        <w:p>
          <w:r>
            <w:fldChar w:fldCharType="end"/>
          </w:r>
        </w:p>
      </w:sdtContent>
    </w:sdt>
    <w:p>
      <w:pPr>
        <w:keepNext w:val="0"/>
        <w:keepLines w:val="0"/>
        <w:pageBreakBefore w:val="0"/>
        <w:widowControl w:val="0"/>
        <w:kinsoku/>
        <w:wordWrap/>
        <w:overflowPunct/>
        <w:topLinePunct w:val="0"/>
        <w:autoSpaceDE w:val="0"/>
        <w:autoSpaceDN w:val="0"/>
        <w:bidi w:val="0"/>
        <w:adjustRightInd/>
        <w:snapToGrid/>
        <w:spacing w:line="560" w:lineRule="exact"/>
        <w:ind w:firstLine="3520" w:firstLineChars="800"/>
        <w:jc w:val="both"/>
        <w:textAlignment w:val="auto"/>
        <w:outlineLvl w:val="0"/>
        <w:rPr>
          <w:rFonts w:hint="default" w:ascii="Times New Roman" w:hAnsi="Times New Roman" w:eastAsia="方正小标宋_GBK" w:cs="Times New Roman"/>
          <w:color w:val="000000" w:themeColor="text1"/>
          <w:sz w:val="44"/>
          <w:szCs w:val="44"/>
          <w:u w:val="none"/>
          <w14:textFill>
            <w14:solidFill>
              <w14:schemeClr w14:val="tx1"/>
            </w14:solidFill>
          </w14:textFill>
        </w:rPr>
        <w:sectPr>
          <w:footerReference r:id="rId7" w:type="default"/>
          <w:pgSz w:w="11910" w:h="16840"/>
          <w:pgMar w:top="1701" w:right="1474" w:bottom="1701" w:left="1587" w:header="1134" w:footer="850" w:gutter="0"/>
          <w:pgNumType w:fmt="decimal" w:start="1"/>
          <w:cols w:space="720" w:num="1"/>
        </w:sectPr>
      </w:pPr>
      <w:bookmarkStart w:id="1" w:name="_Toc4083"/>
    </w:p>
    <w:p>
      <w:pPr>
        <w:keepNext w:val="0"/>
        <w:keepLines w:val="0"/>
        <w:pageBreakBefore w:val="0"/>
        <w:widowControl w:val="0"/>
        <w:kinsoku/>
        <w:wordWrap/>
        <w:overflowPunct/>
        <w:topLinePunct w:val="0"/>
        <w:autoSpaceDE w:val="0"/>
        <w:autoSpaceDN w:val="0"/>
        <w:bidi w:val="0"/>
        <w:adjustRightInd/>
        <w:snapToGrid/>
        <w:spacing w:line="560" w:lineRule="exact"/>
        <w:ind w:firstLine="3520" w:firstLineChars="800"/>
        <w:jc w:val="both"/>
        <w:textAlignment w:val="auto"/>
        <w:outlineLvl w:val="0"/>
        <w:rPr>
          <w:rFonts w:hint="default" w:ascii="Times New Roman" w:hAnsi="Times New Roman" w:eastAsia="方正小标宋_GBK" w:cs="Times New Roman"/>
          <w:color w:val="000000" w:themeColor="text1"/>
          <w:sz w:val="44"/>
          <w:szCs w:val="44"/>
          <w:u w:val="none"/>
          <w14:textFill>
            <w14:solidFill>
              <w14:schemeClr w14:val="tx1"/>
            </w14:solidFill>
          </w14:textFill>
        </w:rPr>
      </w:pPr>
      <w:r>
        <w:rPr>
          <w:rFonts w:hint="default" w:ascii="Times New Roman" w:hAnsi="Times New Roman" w:eastAsia="方正小标宋_GBK" w:cs="Times New Roman"/>
          <w:color w:val="000000" w:themeColor="text1"/>
          <w:sz w:val="44"/>
          <w:szCs w:val="44"/>
          <w:u w:val="none"/>
          <w14:textFill>
            <w14:solidFill>
              <w14:schemeClr w14:val="tx1"/>
            </w14:solidFill>
          </w14:textFill>
        </w:rPr>
        <w:t>序</w:t>
      </w:r>
      <w:r>
        <w:rPr>
          <w:rFonts w:hint="default" w:ascii="Times New Roman" w:hAnsi="Times New Roman" w:eastAsia="方正小标宋_GBK" w:cs="Times New Roman"/>
          <w:color w:val="000000" w:themeColor="text1"/>
          <w:sz w:val="44"/>
          <w:szCs w:val="44"/>
          <w:u w:val="none"/>
          <w14:textFill>
            <w14:solidFill>
              <w14:schemeClr w14:val="tx1"/>
            </w14:solidFill>
          </w14:textFill>
        </w:rPr>
        <w:tab/>
      </w:r>
      <w:r>
        <w:rPr>
          <w:rFonts w:hint="default" w:ascii="Times New Roman" w:hAnsi="Times New Roman" w:eastAsia="方正小标宋_GBK" w:cs="Times New Roman"/>
          <w:color w:val="000000" w:themeColor="text1"/>
          <w:sz w:val="44"/>
          <w:szCs w:val="44"/>
          <w:u w:val="none"/>
          <w14:textFill>
            <w14:solidFill>
              <w14:schemeClr w14:val="tx1"/>
            </w14:solidFill>
          </w14:textFill>
        </w:rPr>
        <w:t>言</w:t>
      </w:r>
      <w:bookmarkEnd w:id="1"/>
    </w:p>
    <w:p>
      <w:pPr>
        <w:keepNext w:val="0"/>
        <w:keepLines w:val="0"/>
        <w:pageBreakBefore w:val="0"/>
        <w:widowControl w:val="0"/>
        <w:kinsoku/>
        <w:wordWrap/>
        <w:overflowPunct/>
        <w:topLinePunct w:val="0"/>
        <w:autoSpaceDE w:val="0"/>
        <w:autoSpaceDN w:val="0"/>
        <w:bidi w:val="0"/>
        <w:adjustRightInd/>
        <w:snapToGrid/>
        <w:spacing w:line="240" w:lineRule="auto"/>
        <w:ind w:firstLine="400" w:firstLineChars="200"/>
        <w:jc w:val="center"/>
        <w:textAlignment w:val="auto"/>
        <w:rPr>
          <w:rFonts w:hint="default" w:ascii="Times New Roman" w:hAnsi="Times New Roman" w:eastAsia="方正小标宋_GBK" w:cs="Times New Roman"/>
          <w:color w:val="000000" w:themeColor="text1"/>
          <w:sz w:val="20"/>
          <w:szCs w:val="20"/>
          <w:u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儿童是国家的未来和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党和国家始终高度重视儿童事业发展，党的十八大以来，以习近平同志为核心的党中央把培养好少年儿童作为一项重大战略任务，坚持儿童优先原则，大力发展儿童事业，保障儿童权利的法律法规和政策体系进一步完善，党委领导、政府主责、妇女儿童工作委员会（以下简称妇儿工委）协调、多部门合作、全社会共同参与的儿童工作机制进一步巩固，儿童发展环境不断优化。</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u w:val="none"/>
          <w:lang w:eastAsia="zh-CN"/>
        </w:rPr>
      </w:pP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文山市</w:t>
      </w:r>
      <w:r>
        <w:rPr>
          <w:rFonts w:hint="default" w:ascii="Times New Roman" w:hAnsi="Times New Roman" w:eastAsia="方正仿宋_GBK" w:cs="Times New Roman"/>
          <w:color w:val="000000" w:themeColor="text1"/>
          <w:sz w:val="32"/>
          <w:szCs w:val="32"/>
          <w:u w:val="none"/>
          <w14:textFill>
            <w14:solidFill>
              <w14:schemeClr w14:val="tx1"/>
            </w14:solidFill>
          </w14:textFill>
        </w:rPr>
        <w:t>认真贯彻落实党中央和国务院决策部署，先后制定并实施了三个周期的儿童发展规划，为儿童生存、发展、受保护和参与权利的实现提供了重要制度保障。2012年</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u w:val="none"/>
          <w14:textFill>
            <w14:solidFill>
              <w14:schemeClr w14:val="tx1"/>
            </w14:solidFill>
          </w14:textFill>
        </w:rPr>
        <w:t>月，</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文山市</w:t>
      </w:r>
      <w:r>
        <w:rPr>
          <w:rFonts w:hint="default" w:ascii="Times New Roman" w:hAnsi="Times New Roman" w:eastAsia="方正仿宋_GBK" w:cs="Times New Roman"/>
          <w:color w:val="000000" w:themeColor="text1"/>
          <w:sz w:val="32"/>
          <w:szCs w:val="32"/>
          <w:u w:val="none"/>
          <w14:textFill>
            <w14:solidFill>
              <w14:schemeClr w14:val="tx1"/>
            </w14:solidFill>
          </w14:textFill>
        </w:rPr>
        <w:t>人民政府颁布实施《</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文山市</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儿童发展规划（2011-2020年）》（以下简称规划）。10年来，各</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级政府及</w:t>
      </w:r>
      <w:r>
        <w:rPr>
          <w:rFonts w:hint="default" w:ascii="Times New Roman" w:hAnsi="Times New Roman" w:eastAsia="方正仿宋_GBK" w:cs="Times New Roman"/>
          <w:color w:val="000000" w:themeColor="text1"/>
          <w:sz w:val="32"/>
          <w:szCs w:val="32"/>
          <w:u w:val="none"/>
          <w14:textFill>
            <w14:solidFill>
              <w14:schemeClr w14:val="tx1"/>
            </w14:solidFill>
          </w14:textFill>
        </w:rPr>
        <w:t>有关部门认真履职，</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认真落实</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权</w:t>
      </w:r>
      <w:r>
        <w:rPr>
          <w:rFonts w:hint="default" w:ascii="Times New Roman" w:hAnsi="Times New Roman" w:eastAsia="方正仿宋_GBK" w:cs="Times New Roman"/>
          <w:color w:val="000000" w:themeColor="text1"/>
          <w:sz w:val="32"/>
          <w:szCs w:val="32"/>
          <w:u w:val="none"/>
          <w14:textFill>
            <w14:solidFill>
              <w14:schemeClr w14:val="tx1"/>
            </w14:solidFill>
          </w14:textFill>
        </w:rPr>
        <w:t>利保护的</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相关</w:t>
      </w:r>
      <w:r>
        <w:rPr>
          <w:rFonts w:hint="default" w:ascii="Times New Roman" w:hAnsi="Times New Roman" w:eastAsia="方正仿宋_GBK" w:cs="Times New Roman"/>
          <w:color w:val="000000" w:themeColor="text1"/>
          <w:sz w:val="32"/>
          <w:szCs w:val="32"/>
          <w:u w:val="none"/>
          <w14:textFill>
            <w14:solidFill>
              <w14:schemeClr w14:val="tx1"/>
            </w14:solidFill>
          </w14:textFill>
        </w:rPr>
        <w:t>法规政策，强化政府管理儿童事业的责任，统筹推进规划实施，促进儿童事业与经济社会同步协调发展，儿童事业取得了历史性新成就。</w:t>
      </w:r>
      <w:r>
        <w:rPr>
          <w:rFonts w:hint="default" w:ascii="Times New Roman" w:hAnsi="Times New Roman" w:eastAsia="方正仿宋_GBK" w:cs="Times New Roman"/>
          <w:color w:val="auto"/>
          <w:sz w:val="32"/>
          <w:szCs w:val="32"/>
          <w:u w:val="none"/>
        </w:rPr>
        <w:t>截至2020年底，婴儿、5岁以下儿童死亡率分别从2010年的</w:t>
      </w:r>
      <w:r>
        <w:rPr>
          <w:rFonts w:hint="eastAsia" w:ascii="Times New Roman" w:hAnsi="Times New Roman" w:eastAsia="方正仿宋_GBK" w:cs="Times New Roman"/>
          <w:color w:val="auto"/>
          <w:sz w:val="32"/>
          <w:szCs w:val="32"/>
          <w:u w:val="none"/>
          <w:lang w:val="en-US" w:eastAsia="zh-CN"/>
        </w:rPr>
        <w:t>16.9</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10.98</w:t>
      </w:r>
      <w:r>
        <w:rPr>
          <w:rFonts w:hint="default" w:ascii="Times New Roman" w:hAnsi="Times New Roman" w:eastAsia="方正仿宋_GBK" w:cs="Times New Roman"/>
          <w:color w:val="auto"/>
          <w:sz w:val="32"/>
          <w:szCs w:val="32"/>
          <w:u w:val="none"/>
        </w:rPr>
        <w:t>‰下降到</w:t>
      </w:r>
      <w:r>
        <w:rPr>
          <w:rFonts w:hint="eastAsia" w:ascii="Times New Roman" w:hAnsi="Times New Roman" w:eastAsia="方正仿宋_GBK" w:cs="Times New Roman"/>
          <w:color w:val="auto"/>
          <w:sz w:val="32"/>
          <w:szCs w:val="32"/>
          <w:u w:val="none"/>
          <w:lang w:val="en-US" w:eastAsia="zh-CN"/>
        </w:rPr>
        <w:t>5.2</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3.56</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学前三年教育毛入园率从2010年的77.86%上升到95.12%，九年义务教育巩固率从2010年的88.99%上升到111.89%，实现义务教育基本均衡发展，高中阶段毛入学率从2010年的78.87%上升到91.31%；农村留守儿童、困境儿童等弱势群体得到更多关爱和保护，规划确定的目标基本实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进入新时代，受经济社会发展水平的制约和环境、历史、文化等因素的影响，</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我市</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儿童发展不平衡不充分的问题仍然突出，</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000000" w:themeColor="text1"/>
          <w:sz w:val="32"/>
          <w:szCs w:val="32"/>
          <w:u w:val="none"/>
          <w14:textFill>
            <w14:solidFill>
              <w14:schemeClr w14:val="tx1"/>
            </w14:solidFill>
          </w14:textFill>
        </w:rPr>
        <w:t>民族及欠发达地区儿童发展整体水平不高，儿童健康保健水平偏低，义务教育发展不均衡，婴幼儿早期教育资源不足，困境儿童的社会保障救助制度还需完善，儿童保护和服务还需加强，全社会儿童优先意识有待进一步加强，支持儿童及家庭发展的法规政策需要健全，科技进步和生活方式变革给促进儿童发展带来新挑战，儿童事业发展使命艰巨、任重道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未来十年，是我国开启全面建设社会主义现代化国家新征程、向第二个百年奋斗目标进军的关键时期，是</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实现经济社会高质量跨越式发展的重要时期。坚持党的全面领导，坚持以人民为中心，坚持新发展理念，建设“民族团结进步示范区、生态文明建设排头兵、面向南亚东南亚辐射中心”，推进边疆民族地区治理体系和治理能力现代化，铸牢中华民族共同体意识，实现</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高质量跨越式发展，为</w:t>
      </w:r>
      <w:r>
        <w:rPr>
          <w:rFonts w:hint="default" w:ascii="Times New Roman" w:hAnsi="Times New Roman" w:eastAsia="方正仿宋_GBK" w:cs="Times New Roman"/>
          <w:color w:val="auto"/>
          <w:sz w:val="32"/>
          <w:szCs w:val="32"/>
          <w:u w:val="none"/>
          <w:lang w:eastAsia="zh-CN"/>
        </w:rPr>
        <w:t>我市</w:t>
      </w:r>
      <w:r>
        <w:rPr>
          <w:rFonts w:hint="default" w:ascii="Times New Roman" w:hAnsi="Times New Roman" w:eastAsia="方正仿宋_GBK" w:cs="Times New Roman"/>
          <w:color w:val="auto"/>
          <w:sz w:val="32"/>
          <w:szCs w:val="32"/>
          <w:u w:val="none"/>
        </w:rPr>
        <w:t>儿童事业发展提供了重大机遇，擘画了美好前景。站在新的历史起点上，要进一步落实儿童优先原则，全面提高儿童综合素质，培养造就德智体美劳全面发展的社会主义事业建设者和接班人，引领儿童勇担新使命，建功新时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依据宪法和未成年人保护法等有关法律法规，</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根据</w:t>
      </w:r>
      <w:r>
        <w:rPr>
          <w:rFonts w:hint="default" w:ascii="Times New Roman" w:hAnsi="Times New Roman" w:eastAsia="方正仿宋_GBK" w:cs="Times New Roman"/>
          <w:color w:val="000000" w:themeColor="text1"/>
          <w:sz w:val="32"/>
          <w:szCs w:val="32"/>
          <w:u w:val="none"/>
          <w14:textFill>
            <w14:solidFill>
              <w14:schemeClr w14:val="tx1"/>
            </w14:solidFill>
          </w14:textFill>
        </w:rPr>
        <w:t>《中国儿童发展纲要（2021-2030年）》《</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云南省</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儿童发展</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规划</w:t>
      </w:r>
      <w:r>
        <w:rPr>
          <w:rFonts w:hint="default" w:ascii="Times New Roman" w:hAnsi="Times New Roman" w:eastAsia="方正仿宋_GBK" w:cs="Times New Roman"/>
          <w:color w:val="000000" w:themeColor="text1"/>
          <w:sz w:val="32"/>
          <w:szCs w:val="32"/>
          <w:u w:val="none"/>
          <w14:textFill>
            <w14:solidFill>
              <w14:schemeClr w14:val="tx1"/>
            </w14:solidFill>
          </w14:textFill>
        </w:rPr>
        <w:t>（2021-2030年）》《</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文山州</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儿童发展</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规划</w:t>
      </w:r>
      <w:r>
        <w:rPr>
          <w:rFonts w:hint="default" w:ascii="Times New Roman" w:hAnsi="Times New Roman" w:eastAsia="方正仿宋_GBK" w:cs="Times New Roman"/>
          <w:color w:val="000000" w:themeColor="text1"/>
          <w:sz w:val="32"/>
          <w:szCs w:val="32"/>
          <w:u w:val="none"/>
          <w14:textFill>
            <w14:solidFill>
              <w14:schemeClr w14:val="tx1"/>
            </w14:solidFill>
          </w14:textFill>
        </w:rPr>
        <w:t>（2021-2030年）》</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，按照文山市</w:t>
      </w:r>
      <w:r>
        <w:rPr>
          <w:rFonts w:hint="default" w:ascii="Times New Roman" w:hAnsi="Times New Roman" w:eastAsia="方正仿宋_GBK" w:cs="Times New Roman"/>
          <w:color w:val="000000" w:themeColor="text1"/>
          <w:sz w:val="32"/>
          <w:szCs w:val="32"/>
          <w:u w:val="none"/>
          <w14:textFill>
            <w14:solidFill>
              <w14:schemeClr w14:val="tx1"/>
            </w14:solidFill>
          </w14:textFill>
        </w:rPr>
        <w:t>经济社会发展总体目标和要求，结合</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我市</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儿童发展实际，制定本规划。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0"/>
        <w:rPr>
          <w:rFonts w:hint="default" w:ascii="Times New Roman" w:hAnsi="Times New Roman" w:eastAsia="方正黑体_GBK" w:cs="Times New Roman"/>
          <w:color w:val="000000" w:themeColor="text1"/>
          <w:sz w:val="32"/>
          <w:szCs w:val="32"/>
          <w:u w:val="none"/>
          <w14:textFill>
            <w14:solidFill>
              <w14:schemeClr w14:val="tx1"/>
            </w14:solidFill>
          </w14:textFill>
        </w:rPr>
      </w:pPr>
      <w:bookmarkStart w:id="2" w:name="_Toc11825"/>
      <w:r>
        <w:rPr>
          <w:rFonts w:hint="default" w:ascii="Times New Roman" w:hAnsi="Times New Roman" w:eastAsia="方正黑体_GBK" w:cs="Times New Roman"/>
          <w:color w:val="000000" w:themeColor="text1"/>
          <w:sz w:val="32"/>
          <w:szCs w:val="32"/>
          <w:u w:val="none"/>
          <w14:textFill>
            <w14:solidFill>
              <w14:schemeClr w14:val="tx1"/>
            </w14:solidFill>
          </w14:textFill>
        </w:rPr>
        <w:t>一、指导思想、基本原则和总体目标</w:t>
      </w:r>
      <w:bookmarkEnd w:id="2"/>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000000" w:themeColor="text1"/>
          <w:sz w:val="32"/>
          <w:szCs w:val="32"/>
          <w:u w:val="none"/>
          <w14:textFill>
            <w14:solidFill>
              <w14:schemeClr w14:val="tx1"/>
            </w14:solidFill>
          </w14:textFill>
        </w:rPr>
      </w:pPr>
      <w:bookmarkStart w:id="3" w:name="_Toc6694"/>
      <w:r>
        <w:rPr>
          <w:rFonts w:hint="default" w:ascii="Times New Roman" w:hAnsi="Times New Roman" w:eastAsia="方正楷体_GBK" w:cs="Times New Roman"/>
          <w:color w:val="000000" w:themeColor="text1"/>
          <w:sz w:val="32"/>
          <w:szCs w:val="32"/>
          <w:u w:val="none"/>
          <w14:textFill>
            <w14:solidFill>
              <w14:schemeClr w14:val="tx1"/>
            </w14:solidFill>
          </w14:textFill>
        </w:rPr>
        <w:t>（一）指导思想</w:t>
      </w:r>
      <w:bookmarkEnd w:id="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高举中国特色社会主义伟大旗帜，深入贯彻党的十九大和十九届</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历次</w:t>
      </w:r>
      <w:r>
        <w:rPr>
          <w:rFonts w:hint="default" w:ascii="Times New Roman" w:hAnsi="Times New Roman" w:eastAsia="方正仿宋_GBK" w:cs="Times New Roman"/>
          <w:color w:val="000000" w:themeColor="text1"/>
          <w:sz w:val="32"/>
          <w:szCs w:val="32"/>
          <w:u w:val="none"/>
          <w14:textFill>
            <w14:solidFill>
              <w14:schemeClr w14:val="tx1"/>
            </w14:solidFill>
          </w14:textFill>
        </w:rPr>
        <w:t>全会精神，坚持以马克思列宁主义、毛泽东思想、邓小平理论、“三个代表”重要思想、科学发展观、习近平新时代中国特色社会主义思想为指导，深入贯彻落实习近平总书记考察</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云南</w:t>
      </w:r>
      <w:r>
        <w:rPr>
          <w:rFonts w:hint="default" w:ascii="Times New Roman" w:hAnsi="Times New Roman" w:eastAsia="方正仿宋_GBK" w:cs="Times New Roman"/>
          <w:color w:val="000000" w:themeColor="text1"/>
          <w:sz w:val="32"/>
          <w:szCs w:val="32"/>
          <w:u w:val="none"/>
          <w14:textFill>
            <w14:solidFill>
              <w14:schemeClr w14:val="tx1"/>
            </w14:solidFill>
          </w14:textFill>
        </w:rPr>
        <w:t>重要讲话和重要指示批示精神，坚持走中国特色社会主义儿童发展道路，坚定不移贯彻新发展理念，坚持和完善保障儿童优先发展、促进儿童全面发展的制度机制，紧紧围绕</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w:t>
      </w:r>
      <w:r>
        <w:rPr>
          <w:rFonts w:hint="default" w:ascii="Times New Roman" w:hAnsi="Times New Roman" w:eastAsia="方正仿宋_GBK" w:cs="Times New Roman"/>
          <w:color w:val="000000" w:themeColor="text1"/>
          <w:sz w:val="32"/>
          <w:szCs w:val="32"/>
          <w:u w:val="none"/>
          <w14:textFill>
            <w14:solidFill>
              <w14:schemeClr w14:val="tx1"/>
            </w14:solidFill>
          </w14:textFill>
        </w:rPr>
        <w:t>经济社会发展总体目标和要求，落实立德树人根本任务，优化儿童发展环境，保障儿童生存、发展、受保护和参与的权利，全面提升儿童综合素质，为推动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文山市</w:t>
      </w:r>
      <w:r>
        <w:rPr>
          <w:rFonts w:hint="default" w:ascii="Times New Roman" w:hAnsi="Times New Roman" w:eastAsia="方正仿宋_GBK" w:cs="Times New Roman"/>
          <w:color w:val="000000" w:themeColor="text1"/>
          <w:sz w:val="32"/>
          <w:szCs w:val="32"/>
          <w:u w:val="none"/>
          <w14:textFill>
            <w14:solidFill>
              <w14:schemeClr w14:val="tx1"/>
            </w14:solidFill>
          </w14:textFill>
        </w:rPr>
        <w:t>实现高质量跨越式发展奠定坚实的人才基础。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000000" w:themeColor="text1"/>
          <w:sz w:val="32"/>
          <w:szCs w:val="32"/>
          <w:u w:val="none"/>
          <w14:textFill>
            <w14:solidFill>
              <w14:schemeClr w14:val="tx1"/>
            </w14:solidFill>
          </w14:textFill>
        </w:rPr>
      </w:pPr>
      <w:bookmarkStart w:id="4" w:name="_Toc11564"/>
      <w:r>
        <w:rPr>
          <w:rFonts w:hint="default" w:ascii="Times New Roman" w:hAnsi="Times New Roman" w:eastAsia="方正楷体_GBK" w:cs="Times New Roman"/>
          <w:color w:val="000000" w:themeColor="text1"/>
          <w:sz w:val="32"/>
          <w:szCs w:val="32"/>
          <w:u w:val="none"/>
          <w14:textFill>
            <w14:solidFill>
              <w14:schemeClr w14:val="tx1"/>
            </w14:solidFill>
          </w14:textFill>
        </w:rPr>
        <w:t>（二）基本原则</w:t>
      </w:r>
      <w:bookmarkEnd w:id="4"/>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坚持党的全面领导。</w:t>
      </w:r>
      <w:r>
        <w:rPr>
          <w:rFonts w:hint="default" w:ascii="Times New Roman" w:hAnsi="Times New Roman" w:eastAsia="方正仿宋_GBK" w:cs="Times New Roman"/>
          <w:color w:val="000000" w:themeColor="text1"/>
          <w:sz w:val="32"/>
          <w:szCs w:val="32"/>
          <w:u w:val="none"/>
          <w14:textFill>
            <w14:solidFill>
              <w14:schemeClr w14:val="tx1"/>
            </w14:solidFill>
          </w14:textFill>
        </w:rPr>
        <w:t>把握儿童事业发展的政治方向，贯彻落实党中央关于儿童事业发展的重要决策部署，切实把党的领导贯彻到儿童事业发展的全过程和各方面。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坚持儿童优先发展原则。</w:t>
      </w:r>
      <w:r>
        <w:rPr>
          <w:rFonts w:hint="default" w:ascii="Times New Roman" w:hAnsi="Times New Roman" w:eastAsia="方正仿宋_GBK" w:cs="Times New Roman"/>
          <w:color w:val="000000" w:themeColor="text1"/>
          <w:sz w:val="32"/>
          <w:szCs w:val="32"/>
          <w:u w:val="none"/>
          <w14:textFill>
            <w14:solidFill>
              <w14:schemeClr w14:val="tx1"/>
            </w14:solidFill>
          </w14:textFill>
        </w:rPr>
        <w:t>在出台法规政策、编制规划、配置资源、部署工作中优先考虑儿童的利益和发展需求。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坚持促进儿童全面发展。</w:t>
      </w:r>
      <w:r>
        <w:rPr>
          <w:rFonts w:hint="default" w:ascii="Times New Roman" w:hAnsi="Times New Roman" w:eastAsia="方正仿宋_GBK" w:cs="Times New Roman"/>
          <w:color w:val="000000" w:themeColor="text1"/>
          <w:sz w:val="32"/>
          <w:szCs w:val="32"/>
          <w:u w:val="none"/>
          <w14:textFill>
            <w14:solidFill>
              <w14:schemeClr w14:val="tx1"/>
            </w14:solidFill>
          </w14:textFill>
        </w:rPr>
        <w:t>尊重儿童的人格尊严，遵循儿童身心发展特点和规律，保障儿童身心健康，促进儿童在德智体美劳各方面实现全面发展。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坚持保障儿童平等发展。</w:t>
      </w:r>
      <w:r>
        <w:rPr>
          <w:rFonts w:hint="default" w:ascii="Times New Roman" w:hAnsi="Times New Roman" w:eastAsia="方正仿宋_GBK" w:cs="Times New Roman"/>
          <w:color w:val="000000" w:themeColor="text1"/>
          <w:sz w:val="32"/>
          <w:szCs w:val="32"/>
          <w:u w:val="none"/>
          <w14:textFill>
            <w14:solidFill>
              <w14:schemeClr w14:val="tx1"/>
            </w14:solidFill>
          </w14:textFill>
        </w:rPr>
        <w:t>消除对儿童一切形式的歧视，保障所有儿童平等享有发展权利和机会。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坚持鼓励儿童自主参与。</w:t>
      </w:r>
      <w:r>
        <w:rPr>
          <w:rFonts w:hint="default" w:ascii="Times New Roman" w:hAnsi="Times New Roman" w:eastAsia="方正仿宋_GBK" w:cs="Times New Roman"/>
          <w:color w:val="000000" w:themeColor="text1"/>
          <w:sz w:val="32"/>
          <w:szCs w:val="32"/>
          <w:u w:val="none"/>
          <w14:textFill>
            <w14:solidFill>
              <w14:schemeClr w14:val="tx1"/>
            </w14:solidFill>
          </w14:textFill>
        </w:rPr>
        <w:t>尊重儿童主体地位，鼓励和支持儿童参与家庭、社会和文化生活，创造有利于儿童参与的社会环境。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000000" w:themeColor="text1"/>
          <w:sz w:val="32"/>
          <w:szCs w:val="32"/>
          <w:u w:val="none"/>
          <w14:textFill>
            <w14:solidFill>
              <w14:schemeClr w14:val="tx1"/>
            </w14:solidFill>
          </w14:textFill>
        </w:rPr>
      </w:pPr>
      <w:bookmarkStart w:id="5" w:name="_Toc11929"/>
      <w:r>
        <w:rPr>
          <w:rFonts w:hint="default" w:ascii="Times New Roman" w:hAnsi="Times New Roman" w:eastAsia="方正楷体_GBK" w:cs="Times New Roman"/>
          <w:color w:val="000000" w:themeColor="text1"/>
          <w:sz w:val="32"/>
          <w:szCs w:val="32"/>
          <w:u w:val="none"/>
          <w14:textFill>
            <w14:solidFill>
              <w14:schemeClr w14:val="tx1"/>
            </w14:solidFill>
          </w14:textFill>
        </w:rPr>
        <w:t>（三）总体目标</w:t>
      </w:r>
      <w:bookmarkEnd w:id="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认真落实</w:t>
      </w:r>
      <w:r>
        <w:rPr>
          <w:rFonts w:hint="default" w:ascii="Times New Roman" w:hAnsi="Times New Roman" w:eastAsia="方正仿宋_GBK" w:cs="Times New Roman"/>
          <w:color w:val="000000" w:themeColor="text1"/>
          <w:sz w:val="32"/>
          <w:szCs w:val="32"/>
          <w:u w:val="none"/>
          <w14:textFill>
            <w14:solidFill>
              <w14:schemeClr w14:val="tx1"/>
            </w14:solidFill>
          </w14:textFill>
        </w:rPr>
        <w:t>保障儿童权利的法规政策</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促进儿童发展的工作机制更加完善，儿童优先的社会风尚普遍形成，城乡、区域、</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民族</w:t>
      </w:r>
      <w:r>
        <w:rPr>
          <w:rFonts w:hint="default" w:ascii="Times New Roman" w:hAnsi="Times New Roman" w:eastAsia="方正仿宋_GBK" w:cs="Times New Roman"/>
          <w:color w:val="000000" w:themeColor="text1"/>
          <w:sz w:val="32"/>
          <w:szCs w:val="32"/>
          <w:u w:val="none"/>
          <w14:textFill>
            <w14:solidFill>
              <w14:schemeClr w14:val="tx1"/>
            </w14:solidFill>
          </w14:textFill>
        </w:rPr>
        <w:t>群体之间的儿童发展差距明显缩小。儿童享有更加均等可及的基本公共服务，享有更加普惠优越的福利保障，享有更加和谐友好的家庭和社会环境。儿童在健康、安全、教育、福利、家庭、环境、法律保护等领域的权利进一步实现，思想道德素养和全面发展水平显著提升，获得感、幸福感、安全感明显增强。展望2035年，与</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w:t>
      </w:r>
      <w:r>
        <w:rPr>
          <w:rFonts w:hint="default" w:ascii="Times New Roman" w:hAnsi="Times New Roman" w:eastAsia="方正仿宋_GBK" w:cs="Times New Roman"/>
          <w:color w:val="000000" w:themeColor="text1"/>
          <w:sz w:val="32"/>
          <w:szCs w:val="32"/>
          <w:u w:val="none"/>
          <w14:textFill>
            <w14:solidFill>
              <w14:schemeClr w14:val="tx1"/>
            </w14:solidFill>
          </w14:textFill>
        </w:rPr>
        <w:t>基本实现社会主义现代化相适应，儿童优先原则全面贯彻，儿童全面发展取得更为明显的实质性进展，广大少年儿童成长为建设社会主义现代化强国、担当民族复兴大任的时代新人。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0"/>
        <w:rPr>
          <w:rFonts w:hint="default" w:ascii="Times New Roman" w:hAnsi="Times New Roman" w:eastAsia="方正黑体_GBK" w:cs="Times New Roman"/>
          <w:color w:val="auto"/>
          <w:sz w:val="32"/>
          <w:szCs w:val="32"/>
          <w:u w:val="none"/>
        </w:rPr>
      </w:pPr>
      <w:bookmarkStart w:id="6" w:name="_Toc32071"/>
      <w:r>
        <w:rPr>
          <w:rFonts w:hint="default" w:ascii="Times New Roman" w:hAnsi="Times New Roman" w:eastAsia="方正黑体_GBK" w:cs="Times New Roman"/>
          <w:color w:val="auto"/>
          <w:sz w:val="32"/>
          <w:szCs w:val="32"/>
          <w:u w:val="none"/>
        </w:rPr>
        <w:t>二、发展领域、主要目标和策略措施</w:t>
      </w:r>
      <w:bookmarkEnd w:id="6"/>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7" w:name="_Toc20747"/>
      <w:r>
        <w:rPr>
          <w:rFonts w:hint="default" w:ascii="Times New Roman" w:hAnsi="Times New Roman" w:eastAsia="方正楷体_GBK" w:cs="Times New Roman"/>
          <w:color w:val="auto"/>
          <w:sz w:val="32"/>
          <w:szCs w:val="32"/>
          <w:u w:val="none"/>
        </w:rPr>
        <w:t>（一）儿童与健康</w:t>
      </w:r>
      <w:bookmarkEnd w:id="7"/>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8" w:name="_Toc11337"/>
      <w:r>
        <w:rPr>
          <w:rFonts w:hint="default" w:ascii="Times New Roman" w:hAnsi="Times New Roman" w:eastAsia="方正仿宋_GBK" w:cs="Times New Roman"/>
          <w:b/>
          <w:bCs/>
          <w:color w:val="auto"/>
          <w:sz w:val="32"/>
          <w:szCs w:val="32"/>
          <w:u w:val="none"/>
        </w:rPr>
        <w:t>主要目标：</w:t>
      </w:r>
      <w:bookmarkEnd w:id="8"/>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覆盖城乡的儿童健康服务体系更加完善，儿童医疗保健服务能力明显增强，儿童健康水平不断提高。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普及儿童健康生活方式，提高儿童及其照护人健康素养水平。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新生儿、婴儿和5岁以下儿童死亡率分别降至2‰、3.5‰和5‰及以下，地区和城乡差距逐步缩小。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提高出生人口素质，构建完善覆盖婚前、孕前、孕期、新生儿和儿童各阶段的出生缺陷防治体系，出生缺陷发生率得到有效控制。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儿童常见疾病和恶性肿瘤等严重危害儿童健康的疾病得到有效防治。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适龄儿童免疫规划疫苗接种率以乡镇</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街道）为单位保持在90％以上，逐步扩大、优化国家免疫规划疫苗种类。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加强促进儿童早期服务机构的建设与管理，</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市级至少建设1个普惠示范性托育服务机构。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5岁以下儿童贫血患病率和生长迟缓率分别控制在10％和5％以下，儿童超重、肥胖上升趋势得到有效控制。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儿童新发近视率明显下降，小学生近视率降至38％以下，初中生近视率降至60％以下，高中阶段学生近视率降至70％以下。0-6岁儿童眼保健和视力检查覆盖率达到90%以上。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增强儿童体质，中小学生国家学生体质健康标准达标优良率达到60%以上。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增强儿童心理健康服务能力，提升儿童心理健康水平。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适龄儿童普遍接受性教育，儿童性健康服务可及性明显提高。</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9" w:name="_Toc5407"/>
      <w:r>
        <w:rPr>
          <w:rFonts w:hint="default" w:ascii="Times New Roman" w:hAnsi="Times New Roman" w:eastAsia="方正仿宋_GBK" w:cs="Times New Roman"/>
          <w:b/>
          <w:bCs/>
          <w:color w:val="auto"/>
          <w:sz w:val="32"/>
          <w:szCs w:val="32"/>
          <w:u w:val="none"/>
        </w:rPr>
        <w:t>策略措施：</w:t>
      </w:r>
      <w:bookmarkEnd w:id="9"/>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优先保障儿童健康。将儿童健康理念融入经济社会发展政策，将儿童健康主要指标纳入政府目标和责任考核。建立和完善覆盖儿童的基本医疗卫生制度，加强儿童医疗保障政策与公共卫生政策衔接。加大对儿童医疗卫生与健康事业的投入力度，加大对革命老区、民族地区和欠发达地区儿童健康事业投入力度。逐步实现基本妇幼健康服务均等化。</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完善儿童健康服务体系。构建</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w:t>
      </w:r>
      <w:r>
        <w:rPr>
          <w:rFonts w:hint="default" w:ascii="Times New Roman" w:hAnsi="Times New Roman" w:eastAsia="方正仿宋_GBK" w:cs="Times New Roman"/>
          <w:color w:val="000000" w:themeColor="text1"/>
          <w:sz w:val="32"/>
          <w:szCs w:val="32"/>
          <w:u w:val="none"/>
          <w14:textFill>
            <w14:solidFill>
              <w14:schemeClr w14:val="tx1"/>
            </w14:solidFill>
          </w14:textFill>
        </w:rPr>
        <w:t>市</w:t>
      </w:r>
      <w:r>
        <w:rPr>
          <w:rFonts w:hint="default" w:ascii="Times New Roman" w:hAnsi="Times New Roman" w:eastAsia="方正仿宋_GBK" w:cs="Times New Roman"/>
          <w:color w:val="auto"/>
          <w:sz w:val="32"/>
          <w:szCs w:val="32"/>
          <w:u w:val="none"/>
        </w:rPr>
        <w:t>儿童医疗保健服务网络，以妇幼保健机构</w:t>
      </w:r>
      <w:r>
        <w:rPr>
          <w:rFonts w:hint="default" w:ascii="Times New Roman" w:hAnsi="Times New Roman" w:eastAsia="方正仿宋_GBK" w:cs="Times New Roman"/>
          <w:color w:val="auto"/>
          <w:sz w:val="32"/>
          <w:szCs w:val="32"/>
          <w:u w:val="none"/>
          <w:lang w:eastAsia="zh-CN"/>
        </w:rPr>
        <w:t>和</w:t>
      </w:r>
      <w:r>
        <w:rPr>
          <w:rFonts w:hint="default" w:ascii="Times New Roman" w:hAnsi="Times New Roman" w:eastAsia="方正仿宋_GBK" w:cs="Times New Roman"/>
          <w:color w:val="auto"/>
          <w:sz w:val="32"/>
          <w:szCs w:val="32"/>
          <w:u w:val="none"/>
        </w:rPr>
        <w:t>综合医院儿科</w:t>
      </w:r>
      <w:r>
        <w:rPr>
          <w:rFonts w:hint="default" w:ascii="Times New Roman" w:hAnsi="Times New Roman" w:eastAsia="方正仿宋_GBK" w:cs="Times New Roman"/>
          <w:color w:val="auto"/>
          <w:sz w:val="32"/>
          <w:szCs w:val="32"/>
          <w:u w:val="none"/>
          <w:lang w:eastAsia="zh-CN"/>
        </w:rPr>
        <w:t>为</w:t>
      </w:r>
      <w:r>
        <w:rPr>
          <w:rFonts w:hint="default" w:ascii="Times New Roman" w:hAnsi="Times New Roman" w:eastAsia="方正仿宋_GBK" w:cs="Times New Roman"/>
          <w:color w:val="auto"/>
          <w:sz w:val="32"/>
          <w:szCs w:val="32"/>
          <w:u w:val="none"/>
        </w:rPr>
        <w:t>重点，加大对农村和边远地区妇幼卫生的投入，进一步优化卫生资源配置，发挥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级以上儿童医疗保健机构在人员培训、技术指导、设备支持等方面的重要作用，提高基层服务能力，促进儿童医疗服务均等化。完善儿童三级诊疗服务网络，加强医疗机构新生儿科、儿科与儿童保健科建设，加强妇幼保健机构学科建设，打造一批国家级</w:t>
      </w:r>
      <w:r>
        <w:rPr>
          <w:rFonts w:hint="default" w:ascii="Times New Roman" w:hAnsi="Times New Roman" w:eastAsia="方正仿宋_GBK" w:cs="Times New Roman"/>
          <w:color w:val="auto"/>
          <w:sz w:val="32"/>
          <w:szCs w:val="32"/>
          <w:u w:val="none"/>
          <w:lang w:eastAsia="zh-CN"/>
        </w:rPr>
        <w:t>、省级</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、州级和市级</w:t>
      </w:r>
      <w:r>
        <w:rPr>
          <w:rFonts w:hint="default" w:ascii="Times New Roman" w:hAnsi="Times New Roman" w:eastAsia="方正仿宋_GBK" w:cs="Times New Roman"/>
          <w:color w:val="auto"/>
          <w:sz w:val="32"/>
          <w:szCs w:val="32"/>
          <w:u w:val="none"/>
        </w:rPr>
        <w:t>儿科、儿童保健重点专科，每千名儿童拥有儿科执业（助理）医生达到1.12名，加大投入，儿科执业（助理）医师数及儿科床位数能够满足辖区儿童健康服务需求。建立完善以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市级</w:t>
      </w:r>
      <w:r>
        <w:rPr>
          <w:rFonts w:hint="default" w:ascii="Times New Roman" w:hAnsi="Times New Roman" w:eastAsia="方正仿宋_GBK" w:cs="Times New Roman"/>
          <w:color w:val="auto"/>
          <w:sz w:val="32"/>
          <w:szCs w:val="32"/>
          <w:u w:val="none"/>
        </w:rPr>
        <w:t>妇幼保健机构为龙头，乡镇卫生院、社区卫生服务中心为枢纽，村卫生室为基础的基层儿童保健服务网络，每所乡镇卫生院、社区卫生服务中心至少配备2名专业从事儿童保健的医生。完善儿童急救体系。加快儿童医学人才培养，提高全科医生的儿科和儿童保健专业技能。为儿童提供全方位全周期的优质中医药医疗保健服务，大力推广应用中医儿科适宜技术。到2025年，三级和二级妇幼保健院开展中医药门诊服务的比例分别达到100%和</w:t>
      </w:r>
      <w:r>
        <w:rPr>
          <w:rFonts w:hint="default"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0%以上。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加大儿童健康知识宣传普及力度。开展形式多样、内容丰富的健康教育，普及儿童健康基本知识和技能，培养健康行为和生活方式。强化父母或其他监护人是儿童健康第一责任人的理念，依托家庭、社区、学校、幼儿园、托育机构，加大科学育儿、预防疾病、及时就医、合理用药、合理膳食、应急避险、心理健康等儿童健康知识和技能宣传普及力度，提高儿童、父母或其他监护人健康素养。构建全媒体健康知识传播机制，运用新媒体，推动“互联网+精准妇幼健康科普”。发挥健康科普专家资源库作用，建立并完善</w:t>
      </w:r>
      <w:r>
        <w:rPr>
          <w:rFonts w:hint="default" w:ascii="Times New Roman" w:hAnsi="Times New Roman" w:eastAsia="方正仿宋_GBK" w:cs="Times New Roman"/>
          <w:color w:val="auto"/>
          <w:sz w:val="32"/>
          <w:szCs w:val="32"/>
          <w:u w:val="none"/>
          <w:lang w:eastAsia="zh-CN"/>
        </w:rPr>
        <w:t>市级</w:t>
      </w:r>
      <w:r>
        <w:rPr>
          <w:rFonts w:hint="default" w:ascii="Times New Roman" w:hAnsi="Times New Roman" w:eastAsia="方正仿宋_GBK" w:cs="Times New Roman"/>
          <w:color w:val="auto"/>
          <w:sz w:val="32"/>
          <w:szCs w:val="32"/>
          <w:u w:val="none"/>
        </w:rPr>
        <w:t>健康科普专家库，增设</w:t>
      </w:r>
      <w:r>
        <w:rPr>
          <w:rFonts w:hint="default" w:ascii="Times New Roman" w:hAnsi="Times New Roman" w:eastAsia="方正仿宋_GBK" w:cs="Times New Roman"/>
          <w:color w:val="auto"/>
          <w:sz w:val="32"/>
          <w:szCs w:val="32"/>
          <w:u w:val="none"/>
          <w:lang w:eastAsia="zh-CN"/>
        </w:rPr>
        <w:t>市级</w:t>
      </w:r>
      <w:r>
        <w:rPr>
          <w:rFonts w:hint="default" w:ascii="Times New Roman" w:hAnsi="Times New Roman" w:eastAsia="方正仿宋_GBK" w:cs="Times New Roman"/>
          <w:color w:val="auto"/>
          <w:sz w:val="32"/>
          <w:szCs w:val="32"/>
          <w:u w:val="none"/>
        </w:rPr>
        <w:t>妇幼健康科普专家团队，组建专家主讲团，开展健康巡讲、义诊咨询等健康科普活动。推进有条件的医疗机构规范设置“孕妇学校”和家长课堂，鼓励医疗机构、医务人员、相关社会组织等开展健康科普活动。预防和制止儿童吸烟（含电子烟）、酗酒，保护儿童远离毒品，提升各年龄段儿童对控烟限酒禁毒等健康知识的认知，促进儿童健康行为养成，同时辐射并带动家庭成员的行为改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保障新生儿安全与健康。深入实施危重新生儿筛查与评估、高危新生儿专案管理、危急重症救治、新生儿死亡评审等制度。加强新生儿规范化访视工作，指导家长做好新生儿喂养、护理和疾病预防，早期发现异常和疾病，及时处理和就诊，新生儿访视率保持在90％以上。完善医疗机构产科、新生儿科质量规范化管理体系，加强新生儿保健专科建设，新生儿保健适宜技术运用。加强危重新生儿救治保障投入，加强</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级危重新生儿救治中心建设，实行危重新生儿救治分片包干和对口帮扶，形成“覆盖全</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、上下协同、及时有效”的安全救治保障网络。</w:t>
      </w:r>
      <w:r>
        <w:rPr>
          <w:rFonts w:hint="default" w:ascii="Times New Roman" w:hAnsi="Times New Roman" w:eastAsia="方正仿宋_GBK" w:cs="Times New Roman"/>
          <w:color w:val="auto"/>
          <w:sz w:val="32"/>
          <w:szCs w:val="32"/>
          <w:u w:val="none"/>
          <w:lang w:eastAsia="zh-CN"/>
        </w:rPr>
        <w:t>全市至少有1家达到国家建设标准要求的危重新生儿救治中心。</w:t>
      </w:r>
      <w:r>
        <w:rPr>
          <w:rFonts w:hint="default" w:ascii="Times New Roman" w:hAnsi="Times New Roman" w:eastAsia="方正仿宋_GBK" w:cs="Times New Roman"/>
          <w:color w:val="auto"/>
          <w:sz w:val="32"/>
          <w:szCs w:val="32"/>
          <w:u w:val="none"/>
        </w:rPr>
        <w:t>不断加强人员配备，健全运行机制，畅通危急重症救治绿色通道。</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加强出生缺陷综合防治。建立多部门联动防治出生缺陷的工作机制，落实出生缺陷三级防治措施，加强婚前、孕前健康知识普及和出生缺陷防控咨询，推广婚姻登记、婚育健康宣传教育、生育指导及医学检查“一站式”服务。强化孕前、孕产期合理营养与膳食指导，提升产前筛查和诊断能力。</w:t>
      </w:r>
      <w:r>
        <w:rPr>
          <w:rFonts w:hint="default" w:ascii="Times New Roman" w:hAnsi="Times New Roman" w:eastAsia="方正仿宋_GBK" w:cs="Times New Roman"/>
          <w:color w:val="000000" w:themeColor="text1"/>
          <w:sz w:val="32"/>
          <w:szCs w:val="32"/>
          <w:u w:val="none"/>
          <w14:textFill>
            <w14:solidFill>
              <w14:schemeClr w14:val="tx1"/>
            </w14:solidFill>
          </w14:textFill>
        </w:rPr>
        <w:t>产前筛查率在80%以上。</w:t>
      </w:r>
      <w:r>
        <w:rPr>
          <w:rFonts w:hint="default" w:ascii="Times New Roman" w:hAnsi="Times New Roman" w:eastAsia="方正仿宋_GBK" w:cs="Times New Roman"/>
          <w:color w:val="auto"/>
          <w:sz w:val="32"/>
          <w:szCs w:val="32"/>
          <w:u w:val="none"/>
        </w:rPr>
        <w:t>推动围孕期、产前产后一体化和多学科诊疗协作，规范服务与质量监管。扩大新生儿疾病筛查病种范围，建立筛查、阳性病例召回、诊断、治疗和随访一体化服务模式，新生儿遗传代谢疾病筛查率在98%以上。加强地中海贫血防治。健全出生缺陷防治网络，加强出生缺陷监测，促进出生缺陷防治领域科技创新和成果转化，促进母胎医学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加强儿童保健服务和管理。加强儿童保健门诊标准化、规范化建设，提升儿童保健服务质量。扎实开展0-6岁儿童健康管理工作，3岁以下儿童系统管理率和7岁以下儿童健康管理率保持在90％以上。加强部门协作，推进视力、听力、言语、肢体、智力等五类残疾及孤独症为重点的0—6岁儿童残疾筛查，建立残疾报告制度，完善筛查、诊断、康复、救助相衔接的工作机制，使残疾儿童及时获得相关服务。提高儿童康复服务能力和水平。加强学校、幼儿园、托育机构的常见病预防保健能力，</w:t>
      </w:r>
      <w:r>
        <w:rPr>
          <w:rFonts w:hint="default" w:ascii="Times New Roman" w:hAnsi="Times New Roman" w:eastAsia="方正仿宋_GBK" w:cs="Times New Roman"/>
          <w:color w:val="000000" w:themeColor="text1"/>
          <w:sz w:val="32"/>
          <w:szCs w:val="32"/>
          <w:u w:val="none"/>
          <w14:textFill>
            <w14:solidFill>
              <w14:schemeClr w14:val="tx1"/>
            </w14:solidFill>
          </w14:textFill>
        </w:rPr>
        <w:t>按标准配备校医、幼儿园及托育机构卫生保健人员和必要保健设备。</w:t>
      </w:r>
      <w:r>
        <w:rPr>
          <w:rFonts w:hint="default" w:ascii="Times New Roman" w:hAnsi="Times New Roman" w:eastAsia="方正仿宋_GBK" w:cs="Times New Roman"/>
          <w:color w:val="auto"/>
          <w:sz w:val="32"/>
          <w:szCs w:val="32"/>
          <w:u w:val="none"/>
        </w:rPr>
        <w:t>加强对孤儿、流动儿童、留守儿童和困境儿童等重点人群的健康管理。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强化儿童疾病防治。以早产、低出生体重、贫血、肥胖、心理行为异常、肺炎、腹泻、视力不良、龋齿等儿童健康问题为重点，推广儿童疾病防治适宜技术，建立早期筛查、诊断和干预服务机制。加强儿童口腔保健，12岁儿童龋患率控制在25％以内。加强儿童重大传染性疾病、新发传染性疾病管理以及消除艾滋病、梅毒和乙肝母婴传播工作。完善儿童血液病、恶性肿瘤等重病诊疗体系、药品供应制度、综合保障制度。科学合理制定罕见病目录，加强罕见病管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加强儿童免疫规划疫苗管理和预防接种。完善免疫服务体系，加强对留守、流动儿童的服务，提高免疫服务质量，确保国家免疫规划疫苗接种率高水平化。加强对疫苗质量、冷链储运、免疫规划制度落实、预防接种活动的监督检查。</w:t>
      </w:r>
      <w:r>
        <w:rPr>
          <w:rFonts w:hint="default" w:ascii="Times New Roman" w:hAnsi="Times New Roman" w:eastAsia="方正仿宋_GBK" w:cs="Times New Roman"/>
          <w:color w:val="auto"/>
          <w:sz w:val="32"/>
          <w:szCs w:val="32"/>
          <w:u w:val="none"/>
          <w:lang w:eastAsia="zh-CN"/>
        </w:rPr>
        <w:t>落实</w:t>
      </w:r>
      <w:r>
        <w:rPr>
          <w:rFonts w:hint="default" w:ascii="Times New Roman" w:hAnsi="Times New Roman" w:eastAsia="方正仿宋_GBK" w:cs="Times New Roman"/>
          <w:color w:val="auto"/>
          <w:sz w:val="32"/>
          <w:szCs w:val="32"/>
          <w:u w:val="none"/>
        </w:rPr>
        <w:t>疫苗伤害补偿相关规定，动态调整补偿目录范围，</w:t>
      </w:r>
      <w:r>
        <w:rPr>
          <w:rFonts w:hint="default" w:ascii="Times New Roman" w:hAnsi="Times New Roman" w:eastAsia="方正仿宋_GBK" w:cs="Times New Roman"/>
          <w:color w:val="auto"/>
          <w:sz w:val="32"/>
          <w:szCs w:val="32"/>
          <w:u w:val="none"/>
          <w:lang w:eastAsia="zh-CN"/>
        </w:rPr>
        <w:t>落实</w:t>
      </w:r>
      <w:r>
        <w:rPr>
          <w:rFonts w:hint="default" w:ascii="Times New Roman" w:hAnsi="Times New Roman" w:eastAsia="方正仿宋_GBK" w:cs="Times New Roman"/>
          <w:color w:val="auto"/>
          <w:sz w:val="32"/>
          <w:szCs w:val="32"/>
          <w:u w:val="none"/>
        </w:rPr>
        <w:t>预防接种异常反应补偿保险机制。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加强儿童早期发展服务。建立健全多部门协作的儿童早期发展工作机制，开展涵盖良好健康、充足营养、回应性照护、早期学习、安全保障等多维度的儿童早期发展综合服务。积极推进</w:t>
      </w:r>
      <w:r>
        <w:rPr>
          <w:rFonts w:hint="default" w:ascii="Times New Roman" w:hAnsi="Times New Roman" w:eastAsia="方正仿宋_GBK" w:cs="Times New Roman"/>
          <w:color w:val="auto"/>
          <w:sz w:val="32"/>
          <w:szCs w:val="32"/>
          <w:u w:val="none"/>
          <w:lang w:eastAsia="zh-CN"/>
        </w:rPr>
        <w:t>市级</w:t>
      </w:r>
      <w:r>
        <w:rPr>
          <w:rFonts w:hint="default" w:ascii="Times New Roman" w:hAnsi="Times New Roman" w:eastAsia="方正仿宋_GBK" w:cs="Times New Roman"/>
          <w:color w:val="auto"/>
          <w:sz w:val="32"/>
          <w:szCs w:val="32"/>
          <w:u w:val="none"/>
        </w:rPr>
        <w:t>儿童早期发展基地建设。规范儿童早期发展服务，开展儿童早期发展适宜技术培训，提高基层服务能力和技术水平。利用各种渠道手段，加强对家庭和托育机构的婴幼儿早期发展指导服务。结合实施基本公共卫生服务项目，推动儿童早期发展均等化，促进儿童早期发展服务进农村、进社区、进家庭。探索推广入户家访指导等适合</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auto"/>
          <w:sz w:val="32"/>
          <w:szCs w:val="32"/>
          <w:u w:val="none"/>
        </w:rPr>
        <w:t>民族、农村边远地区儿童、困境儿童的早期发展服务内容和模式。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改善儿童营养状况。关注儿童生命早期1000天营养，开展孕前、孕产期营养与膳食评价指导。实施母乳喂养促进行动，强化爱婴医院管理，加强公共场所和工作场所母婴设施建设，6个月内婴儿纯母乳喂养率达到50%以上。普及为6月龄以上儿童合理添加辅食的知识技能。开展儿童生长发育监测和评价，开展对家长儿童科学膳食知识的宣传培训，加强个性化营养指导，保障儿童营养充足。加强食育教育，推动营养健康科普宣教活动常态化，引导科学均衡饮食、吃动平衡，预防控制儿童超重和肥胖。加强学校、幼儿园、托育机构的营养健康教育和膳食指导，严格学校、幼儿园、托育机构的营养膳食管理，鼓励食堂配备专（兼）职营养师。加大碘缺乏病防治知识宣传普及力度。完善食品标签体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有效控制儿童近视。全面加强儿童、青少年视力健康及其相关危险因素监测网络、数据收集。加强0—6岁儿童眼保健和视力检查工作，推动建立儿童视力电子档案。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1小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增强儿童身体素质。推进阳光体育运动，开足开齐体育与健康课。丰富中小学体育课内容，在少数民族地区开发与推广适用于儿童特点和喜好的民族传统体育项目。保障儿童每天至少1小时中等及以上强度的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家庭营造良好的体育运动氛围，积极引导孩子进行户外活动或体育锻炼，合理安排儿童作息，保证每天睡眠时间小学生达到10小时、初中生达到9小时、高中生达到8小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13.</w:t>
      </w:r>
      <w:r>
        <w:rPr>
          <w:rFonts w:hint="default" w:ascii="Times New Roman" w:hAnsi="Times New Roman" w:eastAsia="方正仿宋_GBK" w:cs="Times New Roman"/>
          <w:color w:val="auto"/>
          <w:sz w:val="32"/>
          <w:szCs w:val="32"/>
          <w:u w:val="none"/>
        </w:rPr>
        <w:t>加强儿童心理健康服务。构建儿童心理健康教育、咨询服务、评估治疗、危机干预和心理援助公共服务网络。提高学校、幼儿园心理健康教育与服务水平，全</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中等职业学校和中小学校要按国家标准设立心理辅导室或社会工作室，探索引入社会工作方法，培养驻校社工，为不同年龄段学生开展咨询服务。关注和满足孤儿、事实无人抚养儿童、留守儿童和困境儿童心理发展需要。加强儿童医院、精神专科医院和妇幼保健机构儿童心理咨询室及专科门诊建设。鼓励专业社会工作者面向儿童及其监护人提供心理健康服务。完善与儿童相关的心理学专业学科建设，加大专业人才培养力度。建立儿童心理危机干预预警和干预联动机制，建立学校和专业卫生医疗机构转介机制。积极开展生命教育和挫折教育，培养儿童珍爱生命意识和自我情绪调适能力，提高教师、家长预防和识别儿童心理行为异常的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14.</w:t>
      </w:r>
      <w:r>
        <w:rPr>
          <w:rFonts w:hint="default" w:ascii="Times New Roman" w:hAnsi="Times New Roman" w:eastAsia="方正仿宋_GBK" w:cs="Times New Roman"/>
          <w:color w:val="auto"/>
          <w:sz w:val="32"/>
          <w:szCs w:val="32"/>
          <w:u w:val="none"/>
        </w:rPr>
        <w:t>为儿童提供性教育和性健康服务。将性与生殖健康教育纳入基础教育体系和质量监测体系，引导儿童树立正确的性别观念和道德观念，正确认识两性关系。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FF0000"/>
          <w:sz w:val="32"/>
          <w:szCs w:val="32"/>
          <w:u w:val="none"/>
        </w:rPr>
      </w:pPr>
      <w:r>
        <w:rPr>
          <w:rFonts w:hint="eastAsia" w:ascii="Times New Roman" w:hAnsi="Times New Roman" w:eastAsia="方正仿宋_GBK" w:cs="Times New Roman"/>
          <w:color w:val="auto"/>
          <w:sz w:val="32"/>
          <w:szCs w:val="32"/>
          <w:u w:val="none"/>
          <w:lang w:val="en-US" w:eastAsia="zh-CN"/>
        </w:rPr>
        <w:t>15.</w:t>
      </w:r>
      <w:r>
        <w:rPr>
          <w:rFonts w:hint="default" w:ascii="Times New Roman" w:hAnsi="Times New Roman" w:eastAsia="方正仿宋_GBK" w:cs="Times New Roman"/>
          <w:color w:val="auto"/>
          <w:sz w:val="32"/>
          <w:szCs w:val="32"/>
          <w:u w:val="none"/>
        </w:rPr>
        <w:t>加强儿童健康信息管理。完善儿童健康统计制度。规范5岁以下儿童死亡监测、儿童营养与健康监测、出生缺陷监测，获得准确完整监测信息。推进全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妇幼健康信息平台建设，加大推广应用力度，促进全</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妇幼健康信息平台与电子健康档案、儿童健康管理和疾病预防、诊断、治疗、康复等健康信息的互联互通和信息共享。促进“互联网+妇幼健康”服务，建立全</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妇女儿童健康大数据中心，实现儿童健康全周期、全过程管理和服务的信息化和智能化。</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FF0000"/>
          <w:sz w:val="32"/>
          <w:szCs w:val="32"/>
          <w:u w:val="none"/>
          <w:lang w:val="en-US" w:eastAsia="zh-CN"/>
        </w:rPr>
      </w:pPr>
      <w:bookmarkStart w:id="10" w:name="_Toc12374"/>
      <w:r>
        <w:rPr>
          <w:rFonts w:hint="default" w:ascii="Times New Roman" w:hAnsi="Times New Roman" w:eastAsia="方正楷体_GBK" w:cs="Times New Roman"/>
          <w:color w:val="auto"/>
          <w:sz w:val="32"/>
          <w:szCs w:val="32"/>
          <w:u w:val="none"/>
        </w:rPr>
        <w:t>（二）儿童与安全</w:t>
      </w:r>
      <w:bookmarkEnd w:id="10"/>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11" w:name="_Toc19770"/>
      <w:r>
        <w:rPr>
          <w:rFonts w:hint="default" w:ascii="Times New Roman" w:hAnsi="Times New Roman" w:eastAsia="方正仿宋_GBK" w:cs="Times New Roman"/>
          <w:b/>
          <w:bCs/>
          <w:color w:val="auto"/>
          <w:sz w:val="32"/>
          <w:szCs w:val="32"/>
          <w:u w:val="none"/>
        </w:rPr>
        <w:t>主要目标：</w:t>
      </w:r>
      <w:bookmarkEnd w:id="11"/>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减少儿童伤害所致死亡和残疾。儿童意外伤害死亡率以</w:t>
      </w:r>
    </w:p>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2020年为基数下降20%。</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排查消除溺水隐患，儿童溺水死亡率持续下降。</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推广使用儿童安全座椅、安全头盔，儿童出行安全得到有效保障。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减少儿童跌倒、跌落、烧烫伤和中毒等伤害的发生、致残和死亡。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儿童食品安全得到有效保障，减少食物中毒（包括有毒野果、有毒野生菌等）导致的致残和死亡。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提升儿童用品质量安全水平。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预防和制止对儿童一切形式的暴力</w:t>
      </w:r>
      <w:r>
        <w:rPr>
          <w:rFonts w:hint="default" w:ascii="Times New Roman" w:hAnsi="Times New Roman" w:eastAsia="方正仿宋_GBK" w:cs="Times New Roman"/>
          <w:color w:val="auto"/>
          <w:sz w:val="32"/>
          <w:szCs w:val="32"/>
          <w:u w:val="none"/>
          <w:lang w:eastAsia="zh-CN"/>
        </w:rPr>
        <w:t>，贯彻落实强制报告制度。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提高对学生欺凌的综合治理能力，有效预防和妥善处置学生欺凌。</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有效预防和干预儿童沉迷网络，有效治理不良信息、隐私泄露、网络欺凌等问题。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儿童遭受意外和暴力伤害的监测报告系统进一步完善。</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12" w:name="_Toc7144"/>
      <w:r>
        <w:rPr>
          <w:rFonts w:hint="default" w:ascii="Times New Roman" w:hAnsi="Times New Roman" w:eastAsia="方正仿宋_GBK" w:cs="Times New Roman"/>
          <w:b/>
          <w:bCs/>
          <w:color w:val="auto"/>
          <w:sz w:val="32"/>
          <w:szCs w:val="32"/>
          <w:u w:val="none"/>
        </w:rPr>
        <w:t>策略措施：</w:t>
      </w:r>
      <w:bookmarkEnd w:id="12"/>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创新儿童安全理念。树立传统安全与非传统安全并重的儿童安全观，将暴力恐怖袭击、公共卫生、毒品、网络威胁等非传统安全因素纳入儿童安全防控范围内，完善并落实多部门合作机制，在人员、物资、经费等方面给予充分保障，常态化开展儿童安全防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建立健全儿童伤害防控工作体系。加大儿童伤害防控领域执法力度。建立健全儿童伤害防控组织机构，构建完善儿童伤害防控的部门合作工作机制，提高各部门伤害防控能力，鼓励社会力量参与儿童伤害防控。制定实施</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文山市</w:t>
      </w:r>
      <w:r>
        <w:rPr>
          <w:rFonts w:hint="default" w:ascii="Times New Roman" w:hAnsi="Times New Roman" w:eastAsia="方正仿宋_GBK" w:cs="Times New Roman"/>
          <w:color w:val="auto"/>
          <w:sz w:val="32"/>
          <w:szCs w:val="32"/>
          <w:u w:val="none"/>
        </w:rPr>
        <w:t>儿童伤害防控行动计划，探索创新并大力推广儿童伤害防控适宜技术，优先制定实施针对留守儿童、流动儿童、困境儿童的伤害防控措施。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创建儿童安全环境。树立儿童安全伤害可防可控意识，采用宣传教育、改善环境、加强执法、使用安全产品、开展评估等措施，创建有利于儿童成长的家庭、学校、社区安全环境。开展安全教育，提高儿童及其看护人安全意识，帮助其掌握安全知识和技能，培养儿童的安全行为习惯。学校、幼儿园、托育机构等落实安全管理主体责任，开展安全演练，提高儿童应对突发事件和自护、自救、防灾、逃生的能力。社区加强环境治理，排除安全隐患。未成年人集中活动的公共场所及人员密集场所加强儿童安全保护措施。相关企业及组织依法落实维护儿童安全的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预防和控制儿童溺水。加强看护，保证儿童远离危险水体。隔离、消除家庭及校园环境的溺水隐患，开展农村地区相关水体的防护隔离和安全巡查，加强开放性水域、船只等安全管理并配足配强适用于儿童的应急救援装备。游泳及水上游乐场所配备救生员和应急救援装备。对学校、社区、公共场所相关人员及家长等进行溺水救生志愿者培训，重点场所配备溺水救生志愿者。加强学校、家庭，特别是农村地区预防溺水和应急救援知识技能教育，普及儿童游泳及水上安全技能，引导儿童使用安全游泳场所。不断增强儿童的安全意识和自我保护意识，提高儿童自救能力，杜绝野外戏水、游泳、摸鱼捉虾等行为，防止溺水事件发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预防和控制儿童道路交通伤害。完善交通安全立法。落实儿童家长看护责任，严格遵守相关法律法规，培养儿童养成良好交通行为习惯。推广使用儿童安全座椅、安全头盔、儿童步行及骑乘非机动车使用反光标识。完善儿童道路安全防护用品标准，加强对生产及销售的监管。加强道路安全尤其是偏远山区道路安全管理，严格查处交通违法行为。道路规划建设充分考虑儿童年龄特点，完善校园周边安全设施。落实校车安全管理条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预防和控制儿童跌倒、跌落、烧烫伤、中毒等伤害。消除环境危险因素，推广应用建筑物开放性走廊、平台等防护护栏及窗户护栏、窗口限位器等防护产品，减少儿童跌倒、跌落。教育儿童远离火源，引导家庭分隔热源、安全使用家用电器和烟花爆竹，推广使用具有儿童保护功能的家用电器，预防儿童烧烫伤。推广使用儿童安全包装，提升儿童看护人对农药、药物、日用化学品、有毒野生菌和有毒野果等常见毒物的识别及保管能力，避免儿童误食或接触中毒。预防婴幼儿窒息，提升婴幼儿有效照护能力。预防儿童被动物咬伤，规范犬类管理及宠物饲养，教育儿童识别野外危险动物并规避风险。加强防灾减灾教育，提高儿童及其看护人针对地震、火灾、泥石流、水灾、踩踏等灾害性事件的防灾避险技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加强儿童食品安全监管。强化校园食品安全管理，落实学校、幼儿园、托育机构食品安全管理主体责任，消除儿童集中用餐</w:t>
      </w:r>
      <w:r>
        <w:rPr>
          <w:rFonts w:hint="default" w:ascii="Times New Roman" w:hAnsi="Times New Roman" w:eastAsia="方正仿宋_GBK" w:cs="Times New Roman"/>
          <w:color w:val="auto"/>
          <w:sz w:val="32"/>
          <w:szCs w:val="32"/>
          <w:u w:val="none"/>
          <w:shd w:val="clear" w:color="auto" w:fill="auto"/>
          <w:lang w:eastAsia="zh-CN"/>
        </w:rPr>
        <w:t>各环节食品安全隐患，加强校园及周边食品安全监管。强化对食品生</w:t>
      </w:r>
      <w:r>
        <w:rPr>
          <w:rFonts w:hint="default" w:ascii="Times New Roman" w:hAnsi="Times New Roman" w:eastAsia="方正仿宋_GBK" w:cs="Times New Roman"/>
          <w:color w:val="auto"/>
          <w:sz w:val="32"/>
          <w:szCs w:val="32"/>
          <w:u w:val="none"/>
        </w:rPr>
        <w:t>产、经营和销售的监督管理，严肃查处食品生产经营违法违规行为。对从事食品生产经营的企业，严格资质审查，落实安全检查制度，加强对农村地区的食品安全的监管，严肃查处并从重处罚违法违规行为。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shd w:val="clear" w:color="auto" w:fill="auto"/>
          <w:lang w:val="en-US" w:eastAsia="zh-CN"/>
        </w:rPr>
        <w:t>8.</w:t>
      </w:r>
      <w:r>
        <w:rPr>
          <w:rFonts w:hint="default" w:ascii="Times New Roman" w:hAnsi="Times New Roman" w:eastAsia="方正仿宋_GBK" w:cs="Times New Roman"/>
          <w:color w:val="auto"/>
          <w:sz w:val="32"/>
          <w:szCs w:val="32"/>
          <w:u w:val="none"/>
          <w:shd w:val="clear" w:color="auto" w:fill="auto"/>
          <w:lang w:eastAsia="zh-CN"/>
        </w:rPr>
        <w:t>预防和减少产品引发的儿童伤害</w:t>
      </w:r>
      <w:r>
        <w:rPr>
          <w:rFonts w:hint="default" w:ascii="Times New Roman" w:hAnsi="Times New Roman" w:eastAsia="方正仿宋_GBK" w:cs="Times New Roman"/>
          <w:color w:val="auto"/>
          <w:sz w:val="32"/>
          <w:szCs w:val="32"/>
          <w:u w:val="none"/>
          <w:shd w:val="clear" w:color="auto" w:fill="auto"/>
        </w:rPr>
        <w:t>。</w:t>
      </w:r>
      <w:r>
        <w:rPr>
          <w:rFonts w:hint="default" w:ascii="Times New Roman" w:hAnsi="Times New Roman" w:eastAsia="方正仿宋_GBK" w:cs="Times New Roman"/>
          <w:color w:val="auto"/>
          <w:sz w:val="32"/>
          <w:szCs w:val="32"/>
          <w:u w:val="none"/>
        </w:rPr>
        <w:t>强化对儿童用品生产、经营和销售的监督管理。对从事儿童用品生产经营的企业，严格其资质，落实安全检查制度，严肃查处并从重处罚违法违规行为。加强市场监管，持续开展儿童用品质量安全守护行动，严厉查处制售假冒伪劣产品的违法违规行为，鼓励消费者依法投诉举报产品安全问题，对儿童用品质量引起的投诉要进行统计、分析，建立数据库。加强对儿童用品、玩具生产销售及游乐设施生产及运营的监管。每年至少开展1次</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全市</w:t>
      </w:r>
      <w:r>
        <w:rPr>
          <w:rFonts w:hint="default" w:ascii="Times New Roman" w:hAnsi="Times New Roman" w:eastAsia="方正仿宋_GBK" w:cs="Times New Roman"/>
          <w:color w:val="auto"/>
          <w:sz w:val="32"/>
          <w:szCs w:val="32"/>
          <w:u w:val="none"/>
        </w:rPr>
        <w:t>儿童用品质量专项检查，健全缺陷产品召回制度，引导儿童安全使用电动扶梯、电梯、旋转门等设施设备。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预防和控制针对儿童的暴力伤害。宣传倡导对儿童暴力零容忍理念，提升公众法治意识和儿童保护意识，增强儿童安全意识和自我保护能力。强化政府、社会、学校、家庭保护责任，建立防控儿童暴力伤害的部门合作工作机制，健全各级未成年人保护工作平台，落实儿童暴力伤害发现、报告、干预机制。落实密切接触未成年人的机构和人员的强制报告责任和人员入职查询制度，密切接触未成年人的单位在收到查询结果30个工作日内与有相关违法犯罪记录的人员解除工作关系。鼓励公众依法劝阻、制止、检举、控告针对儿童的暴力行为。人民法院、人民检察院、公安、民政、教育等有关部门涉及未成年人的检举、控告或者报告，应建立及时受理、处置工作程序</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依法严惩对儿童实施的暴力违法犯罪行为。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加强对学生欺凌的综合治理。完善落实学生欺凌综合治理的部门合作工作机制。营造文明安全校园环境，加强思想道德教育、法治教育和心理健康教育，培养学生的健全人格和社会交往能力。提高教职员工、家长、学生对欺凌的预防和处置能力。学校建立学生欺凌防控和处置机制，设立学生欺凌投诉、求助转介通道，做好早期预警、及时上报、妥善处置、心理辅导、教育引导等工作。完善校规校纪，健全教育惩戒工作机制，对实施欺凌的学生依法依规严肃处置，对性质严重的欺凌行为，学校应当及时向公安机关、教育行政部门报告，并配合相关部门依法处理。将学生欺凌专项治理纳入社会治安综合治理，强化校园周边综合治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加强未成年人网络保护。落实政府、企业、学校、家庭、社会保护责任，为儿童提供安全、健康的网络环境，保障儿童在网络空间中的合法权益。未成年学生进校后手机交由学校统一保管，学校明确统一的保管场所、方式、责任人，提供必要的保管装置。学校对学生进行网络安全、网络文明和防止沉迷网络的教育，预防和干预学生过度使用网络。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加强儿童个人信息和隐私保护。健全儿童网络欺凌发现报告机制，有效治理网络欺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提高对儿童遭受意外和暴力伤害的紧急救援、医疗救治、康复服务水平。广泛宣传儿童紧急救援知识，提升看护人、教师紧急救援技能。公共场所配备急救设施。完善</w:t>
      </w:r>
      <w:r>
        <w:rPr>
          <w:rFonts w:hint="default" w:ascii="Times New Roman" w:hAnsi="Times New Roman" w:eastAsia="方正仿宋_GBK" w:cs="Times New Roman"/>
          <w:color w:val="auto"/>
          <w:sz w:val="32"/>
          <w:szCs w:val="32"/>
          <w:u w:val="none"/>
          <w:lang w:eastAsia="zh-CN"/>
        </w:rPr>
        <w:t>全市突发公共卫生事件应急体系建设</w:t>
      </w:r>
      <w:r>
        <w:rPr>
          <w:rFonts w:hint="default" w:ascii="Times New Roman" w:hAnsi="Times New Roman" w:eastAsia="方正仿宋_GBK" w:cs="Times New Roman"/>
          <w:color w:val="auto"/>
          <w:sz w:val="32"/>
          <w:szCs w:val="32"/>
          <w:u w:val="none"/>
        </w:rPr>
        <w:t>，加强儿童伤害相关院前急救设备设施配备，加强</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auto"/>
          <w:sz w:val="32"/>
          <w:szCs w:val="32"/>
          <w:u w:val="none"/>
        </w:rPr>
        <w:t>级配备儿童伤害的抢救设备，建立儿童优先的绿色通道，实现院前急救与院内急诊的有效衔接，加强康复机构儿童康复能力建设，提高儿童医学救治以及康复服务的效率和水平。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13.</w:t>
      </w:r>
      <w:r>
        <w:rPr>
          <w:rFonts w:hint="default" w:ascii="Times New Roman" w:hAnsi="Times New Roman" w:eastAsia="方正仿宋_GBK" w:cs="Times New Roman"/>
          <w:color w:val="auto"/>
          <w:sz w:val="32"/>
          <w:szCs w:val="32"/>
          <w:u w:val="none"/>
        </w:rPr>
        <w:t>完善监测机制。完善</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全市</w:t>
      </w:r>
      <w:r>
        <w:rPr>
          <w:rFonts w:hint="default" w:ascii="Times New Roman" w:hAnsi="Times New Roman" w:eastAsia="方正仿宋_GBK" w:cs="Times New Roman"/>
          <w:color w:val="auto"/>
          <w:sz w:val="32"/>
          <w:szCs w:val="32"/>
          <w:u w:val="none"/>
        </w:rPr>
        <w:t>儿童遭受意外和暴力伤害监测体系，通过医疗机构、学校、托育机构、社区、司法机关等多渠道收集儿童伤害数据，促进数据规范化。建立多部门、多专业参与的数据共享、分析、评估和利用工作机制。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13" w:name="_Toc11519"/>
      <w:r>
        <w:rPr>
          <w:rFonts w:hint="default" w:ascii="Times New Roman" w:hAnsi="Times New Roman" w:eastAsia="方正楷体_GBK" w:cs="Times New Roman"/>
          <w:color w:val="auto"/>
          <w:sz w:val="32"/>
          <w:szCs w:val="32"/>
          <w:u w:val="none"/>
        </w:rPr>
        <w:t>（三）儿童与教育</w:t>
      </w:r>
      <w:bookmarkEnd w:id="13"/>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14" w:name="_Toc31425"/>
      <w:r>
        <w:rPr>
          <w:rFonts w:hint="default" w:ascii="Times New Roman" w:hAnsi="Times New Roman" w:eastAsia="方正仿宋_GBK" w:cs="Times New Roman"/>
          <w:b/>
          <w:bCs/>
          <w:color w:val="auto"/>
          <w:sz w:val="32"/>
          <w:szCs w:val="32"/>
          <w:u w:val="none"/>
        </w:rPr>
        <w:t>主要目标：</w:t>
      </w:r>
      <w:bookmarkEnd w:id="14"/>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全面落实立德树人根本任务，保障儿童依法享有受教育权利，健全和完善教育公共服务体系，推动基础教育均衡发展，培养德智体美劳全面发展的社会主义建设者和接班人。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学前教育普及普惠，促进0-6岁学前教育一体化发展，学前教育毛入园率达到</w:t>
      </w:r>
      <w:r>
        <w:rPr>
          <w:rFonts w:hint="default" w:ascii="Times New Roman" w:hAnsi="Times New Roman" w:eastAsia="方正仿宋_GBK" w:cs="Times New Roman"/>
          <w:color w:val="000000" w:themeColor="text1"/>
          <w:sz w:val="32"/>
          <w:szCs w:val="32"/>
          <w:u w:val="none"/>
          <w14:textFill>
            <w14:solidFill>
              <w14:schemeClr w14:val="tx1"/>
            </w14:solidFill>
          </w14:textFill>
        </w:rPr>
        <w:t>95%</w:t>
      </w:r>
      <w:r>
        <w:rPr>
          <w:rFonts w:hint="default" w:ascii="Times New Roman" w:hAnsi="Times New Roman" w:eastAsia="方正仿宋_GBK" w:cs="Times New Roman"/>
          <w:color w:val="auto"/>
          <w:sz w:val="32"/>
          <w:szCs w:val="32"/>
          <w:u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促进义务教育优质均衡和城乡一体化发展，九年义务教育巩固率达到</w:t>
      </w:r>
      <w:r>
        <w:rPr>
          <w:rFonts w:hint="default" w:ascii="Times New Roman" w:hAnsi="Times New Roman" w:eastAsia="方正仿宋_GBK" w:cs="Times New Roman"/>
          <w:color w:val="000000" w:themeColor="text1"/>
          <w:sz w:val="32"/>
          <w:szCs w:val="32"/>
          <w:u w:val="none"/>
          <w14:textFill>
            <w14:solidFill>
              <w14:schemeClr w14:val="tx1"/>
            </w14:solidFill>
          </w14:textFill>
        </w:rPr>
        <w:t>97%</w:t>
      </w:r>
      <w:r>
        <w:rPr>
          <w:rFonts w:hint="default" w:ascii="Times New Roman" w:hAnsi="Times New Roman" w:eastAsia="方正仿宋_GBK" w:cs="Times New Roman"/>
          <w:color w:val="auto"/>
          <w:sz w:val="32"/>
          <w:szCs w:val="32"/>
          <w:u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巩固提高高中阶段教育普及水平，高中阶段教育毛入学率达到</w:t>
      </w:r>
      <w:r>
        <w:rPr>
          <w:rFonts w:hint="default" w:ascii="Times New Roman" w:hAnsi="Times New Roman" w:eastAsia="方正仿宋_GBK" w:cs="Times New Roman"/>
          <w:color w:val="000000" w:themeColor="text1"/>
          <w:sz w:val="32"/>
          <w:szCs w:val="32"/>
          <w:u w:val="none"/>
          <w14:textFill>
            <w14:solidFill>
              <w14:schemeClr w14:val="tx1"/>
            </w14:solidFill>
          </w14:textFill>
        </w:rPr>
        <w:t>95%</w:t>
      </w:r>
      <w:r>
        <w:rPr>
          <w:rFonts w:hint="default" w:ascii="Times New Roman" w:hAnsi="Times New Roman" w:eastAsia="方正仿宋_GBK" w:cs="Times New Roman"/>
          <w:color w:val="auto"/>
          <w:sz w:val="32"/>
          <w:szCs w:val="32"/>
          <w:u w:val="none"/>
        </w:rPr>
        <w:t>，促进普通高中与中等职业教育协调发展。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u w:val="none"/>
          <w14:textFill>
            <w14:solidFill>
              <w14:schemeClr w14:val="tx1"/>
            </w14:solidFill>
          </w14:textFill>
        </w:rPr>
        <w:t>提高特殊教育水平，保障特殊儿童平等接受基础教育，残疾儿童义务教育毛入学率达到96%，巩固率不断提高。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全面提升儿童科学素质，减轻中小学生课业负担，丰富校园文化生活，适度开展校外社会实践，提高中小学儿童的科学兴趣、创新意识、实践能力。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以提高儿童综合素质为导向的教育评价体系更加完善。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加强校园文化建设，营造友善、平等、尊重的师生关系和同学关系。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学校家庭社会协同育人机制进一步完善。</w:t>
      </w:r>
    </w:p>
    <w:p>
      <w:pPr>
        <w:keepNext w:val="0"/>
        <w:keepLines w:val="0"/>
        <w:pageBreakBefore w:val="0"/>
        <w:widowControl w:val="0"/>
        <w:numPr>
          <w:ilvl w:val="0"/>
          <w:numId w:val="0"/>
        </w:numPr>
        <w:tabs>
          <w:tab w:val="left" w:pos="7211"/>
        </w:tabs>
        <w:kinsoku/>
        <w:wordWrap/>
        <w:overflowPunct/>
        <w:topLinePunct w:val="0"/>
        <w:autoSpaceDE w:val="0"/>
        <w:autoSpaceDN w:val="0"/>
        <w:bidi w:val="0"/>
        <w:adjustRightInd/>
        <w:snapToGrid/>
        <w:spacing w:line="560" w:lineRule="exact"/>
        <w:ind w:right="0" w:rightChars="0" w:firstLine="643" w:firstLineChars="200"/>
        <w:jc w:val="both"/>
        <w:textAlignment w:val="auto"/>
        <w:outlineLvl w:val="2"/>
        <w:rPr>
          <w:rFonts w:hint="default" w:ascii="Times New Roman" w:hAnsi="Times New Roman" w:eastAsia="方正仿宋_GBK" w:cs="Times New Roman"/>
          <w:b/>
          <w:bCs/>
          <w:color w:val="auto"/>
          <w:sz w:val="32"/>
          <w:szCs w:val="32"/>
          <w:u w:val="none"/>
          <w:lang w:eastAsia="zh-CN"/>
        </w:rPr>
      </w:pPr>
      <w:bookmarkStart w:id="15" w:name="_Toc25882"/>
      <w:r>
        <w:rPr>
          <w:rFonts w:hint="default" w:ascii="Times New Roman" w:hAnsi="Times New Roman" w:eastAsia="方正仿宋_GBK" w:cs="Times New Roman"/>
          <w:b/>
          <w:bCs/>
          <w:color w:val="auto"/>
          <w:sz w:val="32"/>
          <w:szCs w:val="32"/>
          <w:u w:val="none"/>
        </w:rPr>
        <w:t>策略措施：</w:t>
      </w:r>
      <w:bookmarkEnd w:id="15"/>
      <w:r>
        <w:rPr>
          <w:rFonts w:hint="default" w:ascii="Times New Roman" w:hAnsi="Times New Roman" w:eastAsia="方正仿宋_GBK" w:cs="Times New Roman"/>
          <w:b/>
          <w:bCs/>
          <w:color w:val="auto"/>
          <w:sz w:val="32"/>
          <w:szCs w:val="32"/>
          <w:u w:val="none"/>
          <w:lang w:eastAsia="zh-CN"/>
        </w:rPr>
        <w:tab/>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全面贯彻党的教育方针。全面贯彻党的教育方针。坚持社会主义办学方向，健全立德树人落实机制，实施素质教育，完善德智体美劳全面培养的教育体系。把铸牢中华民族共同体意识教育贯穿儿童青少年成长全过程，推动铸牢中华民族共同体意识教育与中小学德育教育工作紧密融合，引导各族儿童青少年牢固树立“休戚与共、荣辱与共、生死与共、命运与共”的共同体理念。</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推动社会主义核心价值观进教材、进课堂、进头脑，广泛开展理想信念教育，厚植爱国主义情怀，加强品德修养，培养创新与奋斗精神，增强儿童综合素质。健全学校德育工作机制，强化课程育人、教学育人、文化育人、活动育人、实践育人和协调育人，积极落实全员、全过程和全方位育人要求，将立德树人融入思想道德教育、文化知识教育、社会实践教育各环节，积极构建大中小幼一体化的思政工作体系。更加注重“五育并举”，全面加强和改进新时代体育美育工作，发挥劳动育人功能，帮助儿童锻炼强健体魄、磨炼坚强意志，增强儿童文明素养、社会责任意识和实践本领。加强法治教育、安全教育、劳动教育和心理健康教育。</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加快学前教育普及普惠发展。实施学前教育行动计划，建立更为完善的学前教育管理体制、办园体制、政策保障体系。落实</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政府发展学前教育的主体责任。健全与管理体制相适应的财政拨款、收费、社会投入等多渠道、多元化的学前教育经费投入机制。大力发展公办幼儿园，切实把普惠性幼儿园建设纳入城乡公共管理和公共服务设施统一规划。坚持“大村独办、小村联办”原则，每个乡镇至少办好一所公办中心幼儿园</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有条件的乡镇实施“一乡两公办”，发挥乡镇公办中心幼儿园的带动作用。探索以城区优质幼儿园为龙头带动城区薄弱幼儿园、乡村薄弱幼儿园共同发展的集团化办学新模式。探索推动3岁以下幼儿托育服务实现从“多元参与”向“体系构建”的转变，探索0-6岁儿童学前教育一体化模式，鼓励有条件的幼儿园面向家长和社区开展公益性0-3岁早期教育指导。加快培养一批名园长和名教师。坚持科学保教，以游戏为基本活动，为幼儿提供符合年龄特点和身心发展规律的保育和教育，积极做好幼小教育衔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促进义务教育优质均衡发展。按照新型城镇化发展和常住人口规模、学龄人口变化趋势，编制</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全市</w:t>
      </w:r>
      <w:r>
        <w:rPr>
          <w:rFonts w:hint="default" w:ascii="Times New Roman" w:hAnsi="Times New Roman" w:eastAsia="方正仿宋_GBK" w:cs="Times New Roman"/>
          <w:color w:val="auto"/>
          <w:sz w:val="32"/>
          <w:szCs w:val="32"/>
          <w:u w:val="none"/>
        </w:rPr>
        <w:t>义务教育学校布局规划。</w:t>
      </w:r>
      <w:r>
        <w:rPr>
          <w:rFonts w:hint="default" w:ascii="Times New Roman" w:hAnsi="Times New Roman" w:eastAsia="方正仿宋_GBK" w:cs="Times New Roman"/>
          <w:color w:val="000000" w:themeColor="text1"/>
          <w:sz w:val="32"/>
          <w:szCs w:val="32"/>
          <w:u w:val="none"/>
          <w14:textFill>
            <w14:solidFill>
              <w14:schemeClr w14:val="tx1"/>
            </w14:solidFill>
          </w14:textFill>
        </w:rPr>
        <w:t>保障农业转移人口随迁子女平等享有基本公共教育服务，进一步落实家庭经济困难儿童教育资助政策和义务教育阶段“两免一补”政策。</w:t>
      </w:r>
      <w:r>
        <w:rPr>
          <w:rFonts w:hint="default" w:ascii="Times New Roman" w:hAnsi="Times New Roman" w:eastAsia="方正仿宋_GBK" w:cs="Times New Roman"/>
          <w:color w:val="auto"/>
          <w:sz w:val="32"/>
          <w:szCs w:val="32"/>
          <w:u w:val="none"/>
        </w:rPr>
        <w:t>推广新型办学模式，扩大优质教育资源覆盖面。按照国家关于义务教育学校优质均衡督导标准，因地制宜逐步补齐生均体育运动场馆、教学及辅助用房面积，生均教学仪器设备，音乐、美术专用教室配置，班级学生数、办学规模、骨干教师配备，体育、艺术（美术、音乐）专任教师配备等指标短板。建立健全义务教育质量检测机制，健全中小学教育质量年度报告制度和反馈改进机制。完善小学生课后服务制度，建立</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级</w:t>
      </w:r>
      <w:r>
        <w:rPr>
          <w:rFonts w:hint="default" w:ascii="Times New Roman" w:hAnsi="Times New Roman" w:eastAsia="方正仿宋_GBK" w:cs="Times New Roman"/>
          <w:color w:val="000000" w:themeColor="text1"/>
          <w:sz w:val="32"/>
          <w:szCs w:val="32"/>
          <w:u w:val="none"/>
          <w14:textFill>
            <w14:solidFill>
              <w14:schemeClr w14:val="tx1"/>
            </w14:solidFill>
          </w14:textFill>
        </w:rPr>
        <w:t>统筹</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学</w:t>
      </w:r>
      <w:r>
        <w:rPr>
          <w:rFonts w:hint="default" w:ascii="Times New Roman" w:hAnsi="Times New Roman" w:eastAsia="方正仿宋_GBK" w:cs="Times New Roman"/>
          <w:color w:val="auto"/>
          <w:sz w:val="32"/>
          <w:szCs w:val="32"/>
          <w:u w:val="none"/>
        </w:rPr>
        <w:t>校组织，家长自愿，经费保障、免费服务”的课后服务模式。保障外来务工人员随迁子女平等接受义务教育。加强留守儿童的教育关爱保护以及困境儿童的教育保障工作，落实属地责任，建立政府、学校、家庭尽职尽责，社会力量积极参与的农村留守儿童关爱保护工作体系。加强特殊教育基础能力建设，发挥特殊教育资源中心和普通学校随班就读资源教室的作用，强化融合教育，整体提升特殊教育质量。建立更加完善的家庭经济困难残疾儿童少年助学政策体系。加强留守儿童和困境儿童关爱保护，优先满足留守儿童寄宿需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推进普通高中多样化特色化发展。结合新课程新教材运用，全面实施育人方式改革，创造丰富可选择的学校课程体系，以学科核心素养为抓手，关注儿童综合素质与能力培养。创新人才协同培养方式，全面实施选修制度，积极推进走班制和学分管理，增加和拓展校外活动、社会活动、游学活动形式和内容，尊重个体差异，因材施教，推行启发式、探究式、参与式、合作式教学。重视生涯规划教育，促进职普融通，发展中等职业教育，为学生提供更多选择机会，鼓励高校与高中积极合作，努力提升高中生创新素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保障特殊儿童受教育权利，提升儿童共享教育改革发展成果水平。</w:t>
      </w:r>
      <w:r>
        <w:rPr>
          <w:rFonts w:hint="eastAsia" w:ascii="Times New Roman" w:hAnsi="Times New Roman" w:eastAsia="方正仿宋_GBK" w:cs="Times New Roman"/>
          <w:color w:val="auto"/>
          <w:sz w:val="32"/>
          <w:szCs w:val="32"/>
          <w:u w:val="none"/>
          <w:lang w:eastAsia="zh-CN"/>
        </w:rPr>
        <w:t>全市建有</w:t>
      </w:r>
      <w:r>
        <w:rPr>
          <w:rFonts w:hint="eastAsia" w:ascii="Times New Roman" w:hAnsi="Times New Roman" w:eastAsia="方正仿宋_GBK" w:cs="Times New Roman"/>
          <w:color w:val="auto"/>
          <w:sz w:val="32"/>
          <w:szCs w:val="32"/>
          <w:u w:val="none"/>
          <w:lang w:val="en-US" w:eastAsia="zh-CN"/>
        </w:rPr>
        <w:t>1</w:t>
      </w:r>
      <w:r>
        <w:rPr>
          <w:rFonts w:hint="eastAsia" w:ascii="Times New Roman" w:hAnsi="Times New Roman" w:eastAsia="方正仿宋_GBK" w:cs="Times New Roman"/>
          <w:color w:val="auto"/>
          <w:sz w:val="32"/>
          <w:szCs w:val="32"/>
          <w:u w:val="none"/>
          <w:lang w:eastAsia="zh-CN"/>
        </w:rPr>
        <w:t>所</w:t>
      </w:r>
      <w:r>
        <w:rPr>
          <w:rFonts w:hint="default" w:ascii="Times New Roman" w:hAnsi="Times New Roman" w:eastAsia="方正仿宋_GBK" w:cs="Times New Roman"/>
          <w:color w:val="auto"/>
          <w:sz w:val="32"/>
          <w:szCs w:val="32"/>
          <w:u w:val="none"/>
        </w:rPr>
        <w:t>承担特殊教育职能的学校。招收5名以上残疾儿童随班就读的普通学校设立特殊教育资源教室，配备设备和专业人员。巩固教育脱贫攻坚成果，加快完善从学前到高中阶段的特殊儿童公共教育服务体系，教育资源向农村、贫困地区特殊儿童倾斜，推进孤独症儿童教育工作。构建完善全学段、全方位的资助政策体系，强化残疾、留守儿童、孤儿等特殊儿童教育扶持力度，降低返贫致贫风险。强化贫困地区教师队伍建设。坚持扶志与扶智持续发力，完善控辍保学长效机制，重点向“依法控辍”“质量控辍”“保障控辍”转变。实施乡村振兴战略，全面改善农村基础教育条件，增强乡村振兴和城镇化的教育公共服务承载能力。大力发展民族地区和欠发达地区教育事业，构建高质量教育体系，提高教育质量和水平，全面推广普及国家通用语言文字。大力弘扬包含各民族优秀文化在内的中华优秀传统文化，坚持以中华文化为引领，积极开展各民族优秀文化保护、传承和交流互鉴，创造各民族交往、交流、交融的条件，增强对中华文化的认同感、自豪感，坚定文化自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提高儿童科学素质。实施未成年人科学素质提升行动。开展学前科学启蒙教育。提高学校科学教育质量，完善课程标准和课程体系，丰富课程资源。培养儿童创新精神和实践能力。加强社会协同，注重利用</w:t>
      </w:r>
      <w:r>
        <w:rPr>
          <w:rFonts w:hint="eastAsia" w:ascii="Times New Roman" w:hAnsi="Times New Roman" w:eastAsia="方正仿宋_GBK" w:cs="Times New Roman"/>
          <w:color w:val="auto"/>
          <w:sz w:val="32"/>
          <w:szCs w:val="32"/>
          <w:u w:val="none"/>
          <w:lang w:eastAsia="zh-CN"/>
        </w:rPr>
        <w:t>流动科技馆</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少年儿童之家</w:t>
      </w:r>
      <w:r>
        <w:rPr>
          <w:rFonts w:hint="default" w:ascii="Times New Roman" w:hAnsi="Times New Roman" w:eastAsia="方正仿宋_GBK" w:cs="Times New Roman"/>
          <w:color w:val="auto"/>
          <w:sz w:val="32"/>
          <w:szCs w:val="32"/>
          <w:u w:val="none"/>
        </w:rPr>
        <w:t>、青少年</w:t>
      </w:r>
      <w:r>
        <w:rPr>
          <w:rFonts w:hint="default" w:ascii="Times New Roman" w:hAnsi="Times New Roman" w:eastAsia="方正仿宋_GBK" w:cs="Times New Roman"/>
          <w:color w:val="auto"/>
          <w:sz w:val="32"/>
          <w:szCs w:val="32"/>
          <w:u w:val="none"/>
          <w:lang w:val="en-US" w:eastAsia="zh-CN"/>
        </w:rPr>
        <w:t>活动中心</w:t>
      </w:r>
      <w:r>
        <w:rPr>
          <w:rFonts w:hint="default" w:ascii="Times New Roman" w:hAnsi="Times New Roman" w:eastAsia="方正仿宋_GBK" w:cs="Times New Roman"/>
          <w:color w:val="auto"/>
          <w:sz w:val="32"/>
          <w:szCs w:val="32"/>
          <w:u w:val="none"/>
        </w:rPr>
        <w:t>等校外场所开展校外科学学习和实践活动。广泛开展社区科普活动。加强专兼职科学教师和科技辅导员队伍建设。建立完善青少年科学素质监测评估体系</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建立健全科学的教育评价制度体系。树立科学的教育质量观，建立健全以发展素质教育为导向的科学评价体系。落实</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全市</w:t>
      </w:r>
      <w:r>
        <w:rPr>
          <w:rFonts w:hint="default" w:ascii="Times New Roman" w:hAnsi="Times New Roman" w:eastAsia="方正仿宋_GBK" w:cs="Times New Roman"/>
          <w:color w:val="auto"/>
          <w:sz w:val="32"/>
          <w:szCs w:val="32"/>
          <w:u w:val="none"/>
        </w:rPr>
        <w:t>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加强教师队伍建设。强化师德师风建设</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建立健全教职工与学生交往行为准则。提升教师专业水平和综合素质，依托国培计划等各级培训，实行中小学教师5年一周期不少于360学时的教师全员培训。实施“万名校长培训计划”，提升中小学校长办学治校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建设民主、文明、和谐、平等的友好型学校。加强校风、教风、学风建设，创建文明校园。</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推进无烟学校建设。</w:t>
      </w:r>
      <w:r>
        <w:rPr>
          <w:rFonts w:hint="default" w:ascii="Times New Roman" w:hAnsi="Times New Roman" w:eastAsia="方正仿宋_GBK" w:cs="Times New Roman"/>
          <w:color w:val="auto"/>
          <w:sz w:val="32"/>
          <w:szCs w:val="32"/>
          <w:u w:val="none"/>
        </w:rPr>
        <w:t>构建尊师爱生的师生关系和团结友爱的同学关系。保障学生参与学校事务的权利。美化校园环境，优化学生学习、生活条件，推进校园无障碍环境建设和改造，为学生提供适合身高的课桌椅、安全饮用水和卫生厕所，改善学校用餐和学生寄宿条件。丰富和培育积极向上、格调高雅、健康文明的校园文化。</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健全学校家庭社会协同育人机制。加强和谐校园建设，优化儿童学习、生活条件，为儿童提供良好的学习环境、家庭环境和社会环境。加强家长学校、家长委员会建设，引导家长注重家庭氛围、注重家教、注重家风，普及家庭教育知识，推广和谐家庭教育经验。加强家园、家校协作，积极争取家长支持学校德育工作，推动教师家访制度化、常态化。丰富校外教育内容和形式，鼓励儿童积极参与科技、文化、体育、艺术、劳动等实践活动，支持儿童参加专题调查、研学旅行、志愿服务和社会公益活动。强化校外教育与学校教育有效衔接，统筹各类场地、设施和队伍等校外育人资源。引导家长合理利用校外教育资源。进一步规范校外培训机构办学行为。大力弘扬尊师重教的社会风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FF0000"/>
          <w:sz w:val="32"/>
          <w:szCs w:val="32"/>
          <w:u w:val="none"/>
          <w:lang w:eastAsia="zh-CN"/>
        </w:rPr>
      </w:pPr>
      <w:bookmarkStart w:id="16" w:name="_Toc26402"/>
      <w:r>
        <w:rPr>
          <w:rFonts w:hint="default" w:ascii="Times New Roman" w:hAnsi="Times New Roman" w:eastAsia="方正楷体_GBK" w:cs="Times New Roman"/>
          <w:color w:val="auto"/>
          <w:sz w:val="32"/>
          <w:szCs w:val="32"/>
          <w:u w:val="none"/>
        </w:rPr>
        <w:t>（四）儿童与福利</w:t>
      </w:r>
      <w:bookmarkEnd w:id="16"/>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17" w:name="_Toc10747"/>
      <w:r>
        <w:rPr>
          <w:rFonts w:hint="default" w:ascii="Times New Roman" w:hAnsi="Times New Roman" w:eastAsia="方正仿宋_GBK" w:cs="Times New Roman"/>
          <w:b/>
          <w:bCs/>
          <w:color w:val="auto"/>
          <w:sz w:val="32"/>
          <w:szCs w:val="32"/>
          <w:u w:val="none"/>
        </w:rPr>
        <w:t>主要目标：</w:t>
      </w:r>
      <w:bookmarkEnd w:id="17"/>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b w:val="0"/>
          <w:bCs w:val="0"/>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提升儿童福利水平，</w:t>
      </w:r>
      <w:r>
        <w:rPr>
          <w:rFonts w:hint="default" w:ascii="Times New Roman" w:hAnsi="Times New Roman" w:eastAsia="方正仿宋_GBK" w:cs="Times New Roman"/>
          <w:b w:val="0"/>
          <w:bCs w:val="0"/>
          <w:color w:val="auto"/>
          <w:sz w:val="32"/>
          <w:szCs w:val="32"/>
          <w:u w:val="none"/>
        </w:rPr>
        <w:t>完善困境儿童分类保障政策，做到应救尽救、应养尽养、应保尽保。</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提高儿童基本公共服务均等化水平，满足城乡、区域和不同群体儿童的公共服务需求，困境儿童生存、发展和安全权益得到有效保障。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巩固提高基本医疗保障水平，保障孤儿等困境儿童基本医疗权益。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构建连续完整的儿童营养改善项目支持体系。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基本建成覆盖城乡的3岁以下婴幼儿照护服务体系。3岁以下婴幼儿入托比例不低于15％。</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建立和完善残疾儿童康复服务体系，增强康复服务供给能力，提高康复服务质量，实现残疾儿童康复服务全覆盖。</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健全和完善农村留守儿童关爱保护和困境儿童保障服务体系。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城乡社区儿童之家建设更加规范，服务能力持续提升，作用进一步发挥。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建立健全未成年人保护热线工作机制，</w:t>
      </w:r>
      <w:r>
        <w:rPr>
          <w:rFonts w:hint="default" w:ascii="Times New Roman" w:hAnsi="Times New Roman" w:eastAsia="方正仿宋_GBK" w:cs="Times New Roman"/>
          <w:color w:val="auto"/>
          <w:sz w:val="32"/>
          <w:szCs w:val="32"/>
          <w:u w:val="none"/>
          <w:lang w:eastAsia="zh-CN"/>
        </w:rPr>
        <w:t>州、</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auto"/>
          <w:sz w:val="32"/>
          <w:szCs w:val="32"/>
          <w:u w:val="none"/>
        </w:rPr>
        <w:t>、乡镇（街道）、城乡社区建立并有效运行监测预防、强制报告、应急处置、评估帮扶、监护干预等儿童关爱保护机制。拓展未成年人保护渠道。</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基层儿童福利工作阵地和队伍建设进一步加强。全面完成儿童福利机构优化提质和创新转型工作，儿童福利机构资源配置更加优化，权责关系更加明晰，保障服务更加高效。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培育发展为儿童服务的社会组织和儿童社会工作专业队伍。每个</w:t>
      </w:r>
      <w:r>
        <w:rPr>
          <w:rFonts w:hint="default" w:ascii="Times New Roman" w:hAnsi="Times New Roman" w:eastAsia="方正仿宋_GBK" w:cs="Times New Roman"/>
          <w:color w:val="000000" w:themeColor="text1"/>
          <w:sz w:val="32"/>
          <w:szCs w:val="32"/>
          <w:u w:val="none"/>
          <w14:textFill>
            <w14:solidFill>
              <w14:schemeClr w14:val="tx1"/>
            </w14:solidFill>
          </w14:textFill>
        </w:rPr>
        <w:t>乡镇</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街道）</w:t>
      </w:r>
      <w:r>
        <w:rPr>
          <w:rFonts w:hint="default" w:ascii="Times New Roman" w:hAnsi="Times New Roman" w:eastAsia="方正仿宋_GBK" w:cs="Times New Roman"/>
          <w:color w:val="auto"/>
          <w:sz w:val="32"/>
          <w:szCs w:val="32"/>
          <w:u w:val="none"/>
        </w:rPr>
        <w:t>至少配备1名专职社会工作者。</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18" w:name="_Toc8721"/>
      <w:r>
        <w:rPr>
          <w:rFonts w:hint="default" w:ascii="Times New Roman" w:hAnsi="Times New Roman" w:eastAsia="方正仿宋_GBK" w:cs="Times New Roman"/>
          <w:b/>
          <w:bCs/>
          <w:color w:val="auto"/>
          <w:sz w:val="32"/>
          <w:szCs w:val="32"/>
          <w:u w:val="none"/>
        </w:rPr>
        <w:t>策略措施：</w:t>
      </w:r>
      <w:bookmarkEnd w:id="18"/>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完善儿童福利保障和救助制度体系。逐步完善与</w:t>
      </w:r>
      <w:r>
        <w:rPr>
          <w:rFonts w:hint="default" w:ascii="Times New Roman" w:hAnsi="Times New Roman" w:eastAsia="方正仿宋_GBK" w:cs="Times New Roman"/>
          <w:color w:val="auto"/>
          <w:sz w:val="32"/>
          <w:szCs w:val="32"/>
          <w:u w:val="none"/>
          <w:lang w:eastAsia="zh-CN"/>
        </w:rPr>
        <w:t>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经济社会发展状况相适应、与儿童需求相匹配、与相关福利制度相衔接的适度普惠型儿童福利制度体系。合理制定低保标准和特困儿童救助供养标准并建立动态调整机制，将生活困难且符合条件的儿童及其家庭按程序纳入最低生活保障范围。将符合条件的残疾儿童纳入特困人员救助供养范围。将符合条件的儿童纳入临时救助供养范围。为纳入低保和特困人员救助供养的儿童发放价格临时补贴，确保低收入群体中儿童的生活水平不因物价上涨而降低。落实困境儿童分类保障政策，加大困境儿童保障力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提高面向儿童的基本公共服务供给水平。将儿童教育、医疗卫生福利保障事项优先纳入基本公共服务清单，提高服务智能化水平。基本公共服务投入向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auto"/>
          <w:sz w:val="32"/>
          <w:szCs w:val="32"/>
          <w:u w:val="none"/>
        </w:rPr>
        <w:t>民族及乡村振兴重点帮扶的特殊儿童群体倾斜，提高可及性和均等化水平。发挥城乡社区综合服务设施的作用，为儿童提供服务场所。扩大公共服务覆盖面，全面落实儿童乘坐公共交通工具和游览参观票价优惠政策，推进采取年龄标准优先、身高标准补充的方式执行。</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做好儿童医疗保障工作。强化基本医疗保险、大病保险与医疗救助三重保障功能，巩固提高儿童参加城乡居民基本医疗保险覆盖率。健全基本医疗保险筹资和待遇调整机制，严格执行国家药品目录，确保国家纳入医保支付范围的儿童重大疾病治疗药物及时落地。完善儿童医疗服务项目价格调整机制，并按规定纳入医保支付范围。落实困难儿童基本医疗保障政策，着力解决经济困难家庭、流动人口家庭儿童断保、漏保及救助问题。做好符合救助条件的罕见病、重大疾病和出生缺陷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推进实施儿童营养改善项目。巩固“贫困地区儿童营养改善项目”实施效果，扩大项目覆盖范围。深入推进“农村义务教育学生营养改善计划”，完善地方财政、家庭的费用分摊制度，逐步建立根据各地物价水平动态调整补助标准的机制。加强3-6岁学龄前儿童营养改善工作，推动实施农村幼儿营养改善计划，构建婴儿期到学龄期儿童连续完整的营养改善项目支持体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发展普惠托育服务体系，多元化促进3岁以下婴幼儿照护服务。加强对家庭婴幼儿照护的支持和指导，依托医疗服务机构、社会组织、志愿者等建立覆盖医学、心理、教育、健康等领域的育儿专家库，通过入户指导、组织亲子活动、开办家庭课堂、编印照护手则、“互联网＋”等多种方式，为婴幼儿照护者提供科学育儿指导，增强家庭科学育儿能力。为家长及婴幼儿照护者提供婴幼儿早期发展指导服务。强化政策和资金支持，推动规划建设一批承担指导功能的示范性照护服务机构和社区照护服务设施，支持有条件的用人单位为职工提供托育服务，鼓励国有企业等主体积极参与政府普惠托幼服务体系建设。扩大公益性、普惠性婴幼儿照护服务供给。将婴幼儿照护服务纳入社区托育服务体系，发挥城乡社区公共服务设施的婴幼儿照护服务功能，支持和引导社会力量依托社区提供普惠性婴幼儿照护服务。坚持普惠优先、布局合理原则，鼓励和支持有条件的幼儿园开设各类托育班，支持各类婴幼儿照护服务机构提供多样化、多层次的照护服务。规范托育服务，建立完善托育服务机构监管制度，加强婴幼儿照护服务队伍建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加强孤儿和事实无人抚养儿童保障。落实孤儿和事实无人抚养儿童保障政策，明确保障对象，规范认定流程，提高保障标准。</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落实</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儿童收养有关法规政策，</w:t>
      </w:r>
      <w:r>
        <w:rPr>
          <w:rFonts w:hint="default" w:ascii="Times New Roman" w:hAnsi="Times New Roman" w:eastAsia="方正仿宋_GBK" w:cs="Times New Roman"/>
          <w:color w:val="auto"/>
          <w:sz w:val="32"/>
          <w:szCs w:val="32"/>
          <w:u w:val="none"/>
        </w:rPr>
        <w:t>健全收养评估制度，建立收养状况回访监督制度，加强收养登记信息化建设。贯彻落实《中华人民共和国就业促进法》，促进儿童福利机构集中供养且有劳动能力的儿童成年后就业。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落实残疾儿童康复救助制度。完善儿童残疾筛查、诊断、治疗、康复一体化工作机制，建立残疾报告和信息共享制度。提高残疾儿童康复服务覆盖率。推进残疾人康复服务机构优化提质，为有需求的残疾儿童提供康复医疗、康复训练、器具辅助等基本康复服务，加大对经济困难家庭残疾儿童的康复救助。加强残疾儿童定点康复机构建设，完善残疾儿童康复服务标准，增强残疾儿童康复服务供给能力。支持具备康复服务能力的儿童福利机构面向社会残疾儿童开展替代照料、康复训练等服务。对孤儿、艾滋病病毒感染儿童和事实无人抚养儿童按照规定发放基本生活费。完善孤弃儿童安置渠道，采取亲属抚养、家庭寄养、机构养育和依法收养等方式妥善安置孤弃儿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加强流浪乞讨儿童救助保护工作。完善流浪儿童救助保护网络。加强街面流浪乞讨儿童救助保护，落实街面巡查和护送救助职责。探索建立流浪儿童的早期预防和干预机制，为流浪儿童提供教育、心理辅导、行为矫治等专业化服务。救助管理或相关机构依法依规为流浪儿童提供生活照料、身份查询、接送返回等服务。加强流入地与流出地的沟通协调，流出地</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级政府建立源头治理和回归稳固机制，落实流浪儿童社会救助、社会福利、社会保险和义务教育等政策，教育督促其父母或其他监护人履行抚养义务，依法严厉打击遗弃、虐待未成年人违法犯罪行为。鼓励和支持社会力量参与流浪儿童保护和救助的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加强农村留守儿童和困境儿童关爱保护。完善留守儿童关爱保护体系，压实责任，通过开展政策宣讲和培训等方式，强化家庭监护主体责任，提高监护能力，依法严惩恶意弃养等情形的监护人，探索实行失信联合惩戒等措施。强化属地责任，落实关爱帮扶政策措施。加大政府购买服务投入，充分发挥专业社会工作者和志愿者的作用，加强对留守儿童心理、情感、行为和安全自护的指导服务。积极倡导劳动密集型企业履行社会责任，对进城务工的家长进行教育引导，切实履行父母的责任。落实支持外出务工人员返乡就业创业相关政策，从源头上减少留守儿童现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推进儿童福利机构优化提质和创新转型发展。重点打造集“养育、治疗、教育、康复、社会工作”于一体的区域性儿童福利机构，争取成为残疾儿童定点康复机构，探索向有需求的残疾儿童家庭开展康复服务。将</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级儿童福利机构抚养的儿童向州级儿童福利机构移交。</w:t>
      </w:r>
      <w:r>
        <w:rPr>
          <w:rFonts w:hint="default" w:ascii="Times New Roman" w:hAnsi="Times New Roman" w:eastAsia="方正仿宋_GBK" w:cs="Times New Roman"/>
          <w:color w:val="auto"/>
          <w:sz w:val="32"/>
          <w:szCs w:val="32"/>
          <w:u w:val="none"/>
          <w:lang w:eastAsia="zh-CN"/>
        </w:rPr>
        <w:t>成立市</w:t>
      </w:r>
      <w:r>
        <w:rPr>
          <w:rFonts w:hint="default" w:ascii="Times New Roman" w:hAnsi="Times New Roman" w:eastAsia="方正仿宋_GBK" w:cs="Times New Roman"/>
          <w:color w:val="auto"/>
          <w:sz w:val="32"/>
          <w:szCs w:val="32"/>
          <w:u w:val="none"/>
        </w:rPr>
        <w:t>级儿童福利机构向未成年人救助保护机构转型，依法做好符合临时监护情形的未成年人收留抚养工作，协调做好监护评估、个案会商、服务转介、精神关怀等帮扶救助工作，组织开展未成年人保护政策宣传。指导乡镇人民政府和街道办事处做好未成年人保护工作站建设，指导开展儿童督导员、儿童主任业务培训及儿童信息摸底排查、登记建档和动态更新等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提高儿童之家管理服务水平。健全政府主导、部门统筹、各方参与、共同建设儿童之家的工作格局，巩固提高儿童之家覆盖率并发挥作用。进一步完善儿童之家管理服务制度，配备专</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兼</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职工作人员，充分发挥村（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社区</w:t>
      </w:r>
      <w:r>
        <w:rPr>
          <w:rFonts w:hint="default" w:ascii="Times New Roman" w:hAnsi="Times New Roman" w:eastAsia="方正仿宋_GBK" w:cs="Times New Roman"/>
          <w:color w:val="auto"/>
          <w:sz w:val="32"/>
          <w:szCs w:val="32"/>
          <w:u w:val="none"/>
        </w:rPr>
        <w:t>）儿童主任和妇联执委作用，提升管理及使用效能。保障儿童之家服务时长，拓展服务内容，确保服务安全。鼓励和支持社会组织参与儿童之家建设和管理，通过购买服务，项目合作等方式为儿童及家长提供专业化、精细化服务，充分发挥儿童之家在基层社会治理和儿童保护中的作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13.</w:t>
      </w:r>
      <w:r>
        <w:rPr>
          <w:rFonts w:hint="default" w:ascii="Times New Roman" w:hAnsi="Times New Roman" w:eastAsia="方正仿宋_GBK" w:cs="Times New Roman"/>
          <w:color w:val="auto"/>
          <w:sz w:val="32"/>
          <w:szCs w:val="32"/>
          <w:u w:val="none"/>
        </w:rPr>
        <w:t>提升基层儿童工作队伍服务能力。有效整合</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级、乡镇（街道）和城乡社区儿童福利机构、未成年人救助保护机构、特困人员救助供养机构、残疾人服务机构、城乡社区公共服务机构的人员、场所、职责，实现</w:t>
      </w:r>
      <w:r>
        <w:rPr>
          <w:rFonts w:hint="default" w:ascii="Times New Roman" w:hAnsi="Times New Roman" w:eastAsia="方正仿宋_GBK" w:cs="Times New Roman"/>
          <w:color w:val="auto"/>
          <w:sz w:val="32"/>
          <w:szCs w:val="32"/>
          <w:u w:val="none"/>
          <w:lang w:eastAsia="zh-CN"/>
        </w:rPr>
        <w:t>市</w:t>
      </w:r>
      <w:r>
        <w:rPr>
          <w:rFonts w:hint="default" w:ascii="Times New Roman" w:hAnsi="Times New Roman" w:eastAsia="方正仿宋_GBK" w:cs="Times New Roman"/>
          <w:color w:val="auto"/>
          <w:sz w:val="32"/>
          <w:szCs w:val="32"/>
          <w:u w:val="none"/>
        </w:rPr>
        <w:t>级未成年人救助保护机构、乡镇（街道）社工站和城乡社区儿童之家全覆盖，加大相关人员培训力度，提升基层儿童工作队伍服务能力。乡镇（街道）儿童督导员、村（居）儿童主任人员队伍培训率达到100%。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14.</w:t>
      </w:r>
      <w:r>
        <w:rPr>
          <w:rFonts w:hint="default" w:ascii="Times New Roman" w:hAnsi="Times New Roman" w:eastAsia="方正仿宋_GBK" w:cs="Times New Roman"/>
          <w:color w:val="auto"/>
          <w:sz w:val="32"/>
          <w:szCs w:val="32"/>
          <w:u w:val="none"/>
        </w:rPr>
        <w:t>支持引导社会力量参与未成年人关爱保护工作。通过政府委托、项目合作、重点推介、孵化扶持的方式，积极培育社会组织和志愿服务组织。加大政府购买力度，将购买服务资金列入州、县级财政预算，规范购买服务流程和标准。加强儿童服务人员培训。引入专业力量参与学生管理服务，有条件的地方，可通过建立学校社会工作站、设立社会工作岗位、政府购买服务等方式，推进学校社会工作发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19" w:name="_Toc26015"/>
      <w:r>
        <w:rPr>
          <w:rFonts w:hint="default" w:ascii="Times New Roman" w:hAnsi="Times New Roman" w:eastAsia="方正楷体_GBK" w:cs="Times New Roman"/>
          <w:color w:val="auto"/>
          <w:sz w:val="32"/>
          <w:szCs w:val="32"/>
          <w:u w:val="none"/>
        </w:rPr>
        <w:t>（五）儿童与家庭</w:t>
      </w:r>
      <w:bookmarkEnd w:id="19"/>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20" w:name="_Toc3699"/>
      <w:r>
        <w:rPr>
          <w:rFonts w:hint="default" w:ascii="Times New Roman" w:hAnsi="Times New Roman" w:eastAsia="方正仿宋_GBK" w:cs="Times New Roman"/>
          <w:b/>
          <w:bCs/>
          <w:color w:val="auto"/>
          <w:sz w:val="32"/>
          <w:szCs w:val="32"/>
          <w:u w:val="none"/>
        </w:rPr>
        <w:t>主要目标：</w:t>
      </w:r>
      <w:bookmarkEnd w:id="20"/>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发挥家庭立德树人第一所学校作用，培养儿童的好思想、好品行、好习惯。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尊重儿童主体地位，保障儿童平等参与自身和家庭事务的权利。</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教育引导父母或其他监护人落实抚养、教育、保护责任，树立科学育儿理念，掌握运用科学育儿方法。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培养儿童成为好家风的践行者和传承者。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u w:val="none"/>
          <w14:textFill>
            <w14:solidFill>
              <w14:schemeClr w14:val="tx1"/>
            </w14:solidFill>
          </w14:textFill>
        </w:rPr>
        <w:t>培育“正向教养”人才队伍。</w:t>
      </w:r>
      <w:r>
        <w:rPr>
          <w:rFonts w:hint="default" w:ascii="Times New Roman" w:hAnsi="Times New Roman" w:eastAsia="方正仿宋_GBK" w:cs="Times New Roman"/>
          <w:color w:val="auto"/>
          <w:sz w:val="32"/>
          <w:szCs w:val="32"/>
          <w:u w:val="none"/>
        </w:rPr>
        <w:t>增强亲子互动，建立平等和谐的亲子关系。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构建覆盖城乡、具有</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特色的家庭教育指导服务体系，指导服务能力进一步提升。95%的城市社区和85%的农村社区（村）至少建成1个家长学校或家庭教育指导服务站（点）。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支持建立健全家庭生育养育教育的法规政策体系。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加强家庭领域的实证研究，加大研究队伍建设，促进研究成果转化和应用。</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21" w:name="_Toc5296"/>
      <w:r>
        <w:rPr>
          <w:rFonts w:hint="default" w:ascii="Times New Roman" w:hAnsi="Times New Roman" w:eastAsia="方正仿宋_GBK" w:cs="Times New Roman"/>
          <w:b/>
          <w:bCs/>
          <w:color w:val="auto"/>
          <w:sz w:val="32"/>
          <w:szCs w:val="32"/>
          <w:u w:val="none"/>
        </w:rPr>
        <w:t>策略措施：</w:t>
      </w:r>
      <w:bookmarkEnd w:id="21"/>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将立德树人落实到家庭教育各方面。父母或其他监护人应将立德树人全方位融入家庭生活，重视以身作则、言传身教，以健康思想和良好品行教育影响儿童。在日常生活中潜移默化开展思想品德教育，引导儿童坚定理想信念，自觉践行社会主义核心价值观，学习传承中华优秀传统文化，学习红色故事，学习先进人物的典型事迹，厚植爱党爱国爱社会主义情怀。增强法治意识和社会责任感，从小学会做人、学会做事、学会学习，扣好人生第一粒扣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尊重儿童主体地位和权利。坚持以儿童为本，遵循儿童身心发展规律，尊重个体差异，发挥儿童主观能动性，鼓励儿童自主选择、自我管理、自我服务。合理安排儿童在家庭中的学习和生活，合理确定儿童成长预期，增加儿童体育锻炼、休息娱乐、社会实践、同伴交往、亲子活动等时间，保障儿童休息、锻炼、闲暇和娱乐的权利。尊重未成年人人格尊严，保护未成年人隐私和个人信息。尊重儿童的知情权、参与权，在处理儿童自身和家庭事务时，重视听取并采纳儿童的合理意见。教育引导儿童增强家庭和社会责任意识，主动参与力所能及的家务劳动，培养劳动习惯，提高劳动技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增强监护责任意识和能力。父母或其他监护人要创造良好的家庭环境，满足儿童身心和社会性发展需要，培养儿童良好行为习惯和健康生活方式，提高安全意识和自救自护能力，预防未成年人沉迷网络。常态化开展家庭教育宣传培训，帮助父母或其他监护人学习家庭教育知识，树立科学育儿理念，掌握科学育儿方法。引导家庭积极落实“双减”政策，避免加重儿童学习负担。禁止对儿童殴打、体罚、虐待、辱骂等一切形式的家庭暴力。加强对家庭落实监护责任的支持、监督和干预，根据不同需求为家庭提供指导，为留守儿童、困境儿童家庭提供分类保障和支持。为留守儿童和困境儿童的父母或者其他监护人实施家庭教育创造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引导家庭培育和传承良好家风。弘扬尊老爱幼、男女平等、夫妻和睦、勤俭持家、亲子平等、邻里团结的家庭美德，培育爱国爱家、民族团结、相亲相爱、向上向善、共建共享的社会主义家庭文明新风尚。广泛开展内容丰富、形式新颖、富有教育意义的好家风宣传弘扬活动，结合</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区域及民族特色打造系列家风文化服务产品。发挥家长榜样和示范作用，身体力行绿色生活方式，引领儿童养成节约适度、绿色低碳、文明健康的生活方式和消费模式，杜绝餐饮浪费，在潜移默化中教育引导儿童主动践行和传承良好家风。</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培育良好亲子关系。引导家庭建立有效的亲子沟通方式，加强日常生活的亲子交流，增加陪伴时间，提高陪伴质量。鼓励支持家庭开展亲子游戏、亲子阅读、亲子运动、亲子出游等亲子活动，增进情感，提升互信。</w:t>
      </w:r>
      <w:r>
        <w:rPr>
          <w:rFonts w:hint="default" w:ascii="Times New Roman" w:hAnsi="Times New Roman" w:eastAsia="方正仿宋_GBK" w:cs="Times New Roman"/>
          <w:color w:val="000000" w:themeColor="text1"/>
          <w:sz w:val="32"/>
          <w:szCs w:val="32"/>
          <w:u w:val="none"/>
          <w14:textFill>
            <w14:solidFill>
              <w14:schemeClr w14:val="tx1"/>
            </w14:solidFill>
          </w14:textFill>
        </w:rPr>
        <w:t>2025年底，从现有教师职工、社会组织中培育不少于20名“正向教养”导师队伍。到2030年，培育不少于100名“正向教养”导师队伍。</w:t>
      </w:r>
      <w:r>
        <w:rPr>
          <w:rFonts w:hint="default" w:ascii="Times New Roman" w:hAnsi="Times New Roman" w:eastAsia="方正仿宋_GBK" w:cs="Times New Roman"/>
          <w:color w:val="auto"/>
          <w:sz w:val="32"/>
          <w:szCs w:val="32"/>
          <w:u w:val="none"/>
        </w:rPr>
        <w:t>在民族地区开展促进优秀民族文化传承的亲子实践活动。指导帮助调适家庭亲子关系，缓解育儿焦虑，化解亲子矛盾。各类教育、科技、文化、体育、娱乐等公益性设施和场所、城乡社区儿童之家应为开展家庭亲子活动提供必要条件，并纳入常规工作范畴。加强亲子阅读指导，结合不同年龄段组织形式多样、内容丰富、便于参与的亲子阅读活动，完善儿童社区阅读场所和功能，鼓励社区图书室设立亲子阅读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构建覆盖城乡的家庭教育指导服务体系。县级以上人民政府结合当地实际，通过多种途径和方式设立家庭教育指导服务中心，统筹家庭教育指导服务工作。依托各类家长学校、城乡社区公共服务设施、妇女之家、儿童之家等设立家庭教育服务站点。建设家庭教育信息化共享平台，开办线上家长学校，设计家庭教育指导课程，提供线上线下相互融合的家庭教育指导服务。中小学、幼儿园健全家庭教育指导服务工作制度，将家庭教育指导服务纳入学校工作计划和教师业务培训，定期开展家庭教育指导服务。社区（村）支持协助家庭教育指导服务站点开展家庭教育指导服务。婚姻登记机关、医疗卫生机构、未成年人救助保护机构结合职责开展家庭教育知识宣传和指导服务。</w:t>
      </w:r>
      <w:r>
        <w:rPr>
          <w:rFonts w:hint="default" w:ascii="Times New Roman" w:hAnsi="Times New Roman" w:eastAsia="方正仿宋_GBK" w:cs="Times New Roman"/>
          <w:color w:val="000000" w:themeColor="text1"/>
          <w:sz w:val="32"/>
          <w:szCs w:val="32"/>
          <w:u w:val="none"/>
          <w14:textFill>
            <w14:solidFill>
              <w14:schemeClr w14:val="tx1"/>
            </w14:solidFill>
          </w14:textFill>
        </w:rPr>
        <w:t>广播、电视、报刊、互联网等新闻媒体</w:t>
      </w:r>
      <w:r>
        <w:rPr>
          <w:rFonts w:hint="default" w:ascii="Times New Roman" w:hAnsi="Times New Roman" w:eastAsia="方正仿宋_GBK" w:cs="Times New Roman"/>
          <w:color w:val="auto"/>
          <w:sz w:val="32"/>
          <w:szCs w:val="32"/>
          <w:u w:val="none"/>
        </w:rPr>
        <w:t>要开设家庭教育专题，加大社会宣传。鼓励支持公共图书馆、文化馆（站）、纪念馆、</w:t>
      </w:r>
      <w:r>
        <w:rPr>
          <w:rFonts w:hint="eastAsia" w:ascii="Times New Roman" w:hAnsi="Times New Roman" w:eastAsia="方正仿宋_GBK" w:cs="Times New Roman"/>
          <w:color w:val="auto"/>
          <w:sz w:val="32"/>
          <w:szCs w:val="32"/>
          <w:u w:val="none"/>
          <w:lang w:eastAsia="zh-CN"/>
        </w:rPr>
        <w:t>流动科技馆</w:t>
      </w:r>
      <w:r>
        <w:rPr>
          <w:rFonts w:hint="default" w:ascii="Times New Roman" w:hAnsi="Times New Roman" w:eastAsia="方正仿宋_GBK" w:cs="Times New Roman"/>
          <w:color w:val="auto"/>
          <w:sz w:val="32"/>
          <w:szCs w:val="32"/>
          <w:u w:val="none"/>
        </w:rPr>
        <w:t>等公共文化服务场所开展家庭教育知识宣传和活动。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强化对家庭教育指导服务的支持保障。推进实施家庭教育工作规划，</w:t>
      </w:r>
      <w:r>
        <w:rPr>
          <w:rFonts w:hint="default" w:ascii="Times New Roman" w:hAnsi="Times New Roman" w:eastAsia="方正仿宋_GBK" w:cs="Times New Roman"/>
          <w:color w:val="000000" w:themeColor="text1"/>
          <w:sz w:val="32"/>
          <w:szCs w:val="32"/>
          <w:u w:val="none"/>
          <w14:textFill>
            <w14:solidFill>
              <w14:schemeClr w14:val="tx1"/>
            </w14:solidFill>
          </w14:textFill>
        </w:rPr>
        <w:t>推动将家庭教育指导服务纳入国家基本公共服务体系，</w:t>
      </w:r>
      <w:r>
        <w:rPr>
          <w:rFonts w:hint="default" w:ascii="Times New Roman" w:hAnsi="Times New Roman" w:eastAsia="方正仿宋_GBK" w:cs="Times New Roman"/>
          <w:color w:val="auto"/>
          <w:sz w:val="32"/>
          <w:szCs w:val="32"/>
          <w:u w:val="none"/>
        </w:rPr>
        <w:t>建立家庭教育指导服务政府购买服务机制，采取政府补贴、奖励激励等措施，培育家庭教育服务机构，加强对家庭教育服务机构和从业人员的管理，规范家庭教育服务市场。推动建立发达地区与</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auto"/>
          <w:sz w:val="32"/>
          <w:szCs w:val="32"/>
          <w:u w:val="none"/>
        </w:rPr>
        <w:t>民族地区互助联动机制，提高</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auto"/>
          <w:sz w:val="32"/>
          <w:szCs w:val="32"/>
          <w:u w:val="none"/>
        </w:rPr>
        <w:t>民族地区家庭教育指导服务保障能力。引导家庭教育服务机构加强行业自律，研究制定服务质量标准，建立行业认证体系，开展从业人员培训。鼓励支持机关、企事业单位、社会团体和社会组织面向本单位职工开展家庭教育指导服务。鼓励支持社工机构、志愿者组织和个人依法依规开展家庭教育指导服务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完善支持家庭生育养育教育的政策法规。推进</w:t>
      </w:r>
      <w:r>
        <w:rPr>
          <w:rFonts w:hint="default" w:ascii="Times New Roman" w:hAnsi="Times New Roman" w:eastAsia="方正仿宋_GBK" w:cs="Times New Roman"/>
          <w:color w:val="auto"/>
          <w:sz w:val="32"/>
          <w:szCs w:val="32"/>
          <w:u w:val="none"/>
          <w:lang w:eastAsia="zh-CN"/>
        </w:rPr>
        <w:t>家庭教育促进法的贯彻落实</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加大我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家庭教育工作规划</w:t>
      </w:r>
      <w:r>
        <w:rPr>
          <w:rFonts w:hint="default" w:ascii="Times New Roman" w:hAnsi="Times New Roman" w:eastAsia="方正仿宋_GBK" w:cs="Times New Roman"/>
          <w:color w:val="auto"/>
          <w:sz w:val="32"/>
          <w:szCs w:val="32"/>
          <w:u w:val="none"/>
          <w:lang w:eastAsia="zh-CN"/>
        </w:rPr>
        <w:t>的实施力度</w:t>
      </w:r>
      <w:r>
        <w:rPr>
          <w:rFonts w:hint="default" w:ascii="Times New Roman" w:hAnsi="Times New Roman" w:eastAsia="方正仿宋_GBK" w:cs="Times New Roman"/>
          <w:color w:val="auto"/>
          <w:sz w:val="32"/>
          <w:szCs w:val="32"/>
          <w:u w:val="none"/>
        </w:rPr>
        <w:t>。完善三孩生育政策配套措施，探索制定家庭育儿津贴政策。全面落实产假制度，探索实行父母育儿假。落实促进3岁以下婴幼儿照护服务政策，推动将3岁以下婴幼儿照护服务费用纳入个人所得税专项附加扣除。完善低保、特困和低收入家庭分类救助体系，优先完善对困境儿童及其家庭的支持与保障的家庭政策。建立监护困境未成年人风险评估等级指标和分级干预措施，明确不同风险等级家访频率，并做好家访情况记录。鼓励用人单位创办母婴室和托育托管服务设施。探索智慧托育建设，为育儿家庭、机构建设与服务提供更加智能、便捷、优质的服务。开展互联网直播互动式家庭育儿服务，支持优质机构、行业协会开展婴幼儿养育公益托幼服务与婴幼儿健康管理，促进儿童早期发展、儿科医疗服务等融合发展。面向残疾和大病儿童及其家庭，提供上门探访、政策宣传落实、特殊教育和康复指导、精神慰藉等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加强家庭领域理论研究。</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鼓励</w:t>
      </w:r>
      <w:r>
        <w:rPr>
          <w:rFonts w:hint="default" w:ascii="Times New Roman" w:hAnsi="Times New Roman" w:eastAsia="方正仿宋_GBK" w:cs="Times New Roman"/>
          <w:color w:val="auto"/>
          <w:sz w:val="32"/>
          <w:szCs w:val="32"/>
          <w:u w:val="none"/>
        </w:rPr>
        <w:t>建立家庭领域研究基地，培养壮大家庭研究队伍，提升研究水平。坚持问题导向，聚焦家庭建设、家庭教育、家风培树等开展研究，吸收少数民族优秀家风家教研究成果，及时推进研究成果转化，为家庭领域相关工作提供理论支撑。</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22" w:name="_Toc11837"/>
      <w:r>
        <w:rPr>
          <w:rFonts w:hint="default" w:ascii="Times New Roman" w:hAnsi="Times New Roman" w:eastAsia="方正楷体_GBK" w:cs="Times New Roman"/>
          <w:color w:val="auto"/>
          <w:sz w:val="32"/>
          <w:szCs w:val="32"/>
          <w:u w:val="none"/>
        </w:rPr>
        <w:t>儿童与环境</w:t>
      </w:r>
      <w:bookmarkEnd w:id="22"/>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right="0" w:rightChars="0" w:firstLine="321" w:firstLineChars="100"/>
        <w:jc w:val="both"/>
        <w:textAlignment w:val="auto"/>
        <w:outlineLvl w:val="2"/>
        <w:rPr>
          <w:rFonts w:hint="default" w:ascii="Times New Roman" w:hAnsi="Times New Roman" w:eastAsia="方正仿宋_GBK" w:cs="Times New Roman"/>
          <w:b/>
          <w:bCs/>
          <w:color w:val="auto"/>
          <w:sz w:val="32"/>
          <w:szCs w:val="32"/>
          <w:u w:val="none"/>
        </w:rPr>
      </w:pPr>
      <w:bookmarkStart w:id="23" w:name="_Toc4471"/>
      <w:r>
        <w:rPr>
          <w:rFonts w:hint="default" w:ascii="Times New Roman" w:hAnsi="Times New Roman" w:eastAsia="方正仿宋_GBK" w:cs="Times New Roman"/>
          <w:b/>
          <w:bCs/>
          <w:color w:val="auto"/>
          <w:sz w:val="32"/>
          <w:szCs w:val="32"/>
          <w:u w:val="none"/>
        </w:rPr>
        <w:t>主要目标：</w:t>
      </w:r>
      <w:bookmarkEnd w:id="23"/>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将儿童优先理念、儿童最大利益原则、性别平等理念、儿童参与理念纳入公共政策制定、公共设施建设、公共服务供给等方面，形成关爱、尊重、保护儿童的社会环境氛围。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加大对有益于儿童全面发展的高质量精神文化产品的开发，不断满足儿童精神文化需求。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保护儿童免受网络、游戏、广告、图书、影视及其他新兴传媒不良信息的影响，提升儿童媒介素养。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儿童参与家庭、学校和社会事务的权利得到充分保障。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创建儿童友好城市和儿童友好社区。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增加儿童校外公益性活动场所，</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建立</w:t>
      </w:r>
      <w:r>
        <w:rPr>
          <w:rFonts w:hint="default" w:ascii="Times New Roman" w:hAnsi="Times New Roman" w:eastAsia="方正仿宋_GBK" w:cs="Times New Roman"/>
          <w:color w:val="auto"/>
          <w:sz w:val="32"/>
          <w:szCs w:val="32"/>
          <w:u w:val="none"/>
        </w:rPr>
        <w:t>1个可提供教育、科技、文化、体育和娱乐服务的儿童公益性综合服务场馆，提高场所利用率和服务质量。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减少环境污染对儿童的伤害，空气、水、土壤达标，在自然灾害的预防与救援中充分考虑儿童特点。提高农村地区卫生厕所普及率，农村自来水普及率达到</w:t>
      </w:r>
      <w:r>
        <w:rPr>
          <w:rFonts w:hint="default" w:ascii="Times New Roman" w:hAnsi="Times New Roman" w:eastAsia="方正仿宋_GBK" w:cs="Times New Roman"/>
          <w:color w:val="auto"/>
          <w:sz w:val="32"/>
          <w:szCs w:val="32"/>
          <w:u w:val="none"/>
          <w:lang w:val="en-US" w:eastAsia="zh-CN"/>
        </w:rPr>
        <w:t>90%</w:t>
      </w:r>
      <w:r>
        <w:rPr>
          <w:rFonts w:hint="default" w:ascii="Times New Roman" w:hAnsi="Times New Roman" w:eastAsia="方正仿宋_GBK" w:cs="Times New Roman"/>
          <w:color w:val="auto"/>
          <w:sz w:val="32"/>
          <w:szCs w:val="32"/>
          <w:u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提高儿童生态环境保护意识，倡导绿色消费，低碳生活，做生态文明建设的践行者。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在突发事件的预防与应对中充分考虑儿童的身心特点，优先满足儿童的特殊需求。</w:t>
      </w:r>
    </w:p>
    <w:p>
      <w:pPr>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br w:type="page"/>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24" w:name="_Toc31258"/>
      <w:r>
        <w:rPr>
          <w:rFonts w:hint="default" w:ascii="Times New Roman" w:hAnsi="Times New Roman" w:eastAsia="方正仿宋_GBK" w:cs="Times New Roman"/>
          <w:b/>
          <w:bCs/>
          <w:color w:val="auto"/>
          <w:sz w:val="32"/>
          <w:szCs w:val="32"/>
          <w:u w:val="none"/>
        </w:rPr>
        <w:t>策略措施：</w:t>
      </w:r>
      <w:bookmarkEnd w:id="24"/>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全面贯彻儿童优先原则。广泛开展以儿童优先、儿童最大利益原则、性别平等、儿童参与为主题的宣传活动。建立和完善促进儿童优先发展的法规政策体系，提高政府部门和社会公众对儿童权利的认识。政府部门制定出台法规政策、编制规划、部署工作时应充分考虑儿童最大利益和需求，鼓励企事业单位、各类公共服务机构和社会组织参与儿童发展和权利保护服务。在城乡</w:t>
      </w:r>
      <w:r>
        <w:rPr>
          <w:rFonts w:hint="default" w:ascii="Times New Roman" w:hAnsi="Times New Roman" w:eastAsia="方正仿宋_GBK" w:cs="Times New Roman"/>
          <w:color w:val="auto"/>
          <w:sz w:val="32"/>
          <w:szCs w:val="32"/>
          <w:u w:val="none"/>
          <w:lang w:val="en"/>
        </w:rPr>
        <w:t>规划建设</w:t>
      </w:r>
      <w:r>
        <w:rPr>
          <w:rFonts w:hint="default" w:ascii="Times New Roman" w:hAnsi="Times New Roman" w:eastAsia="方正仿宋_GBK" w:cs="Times New Roman"/>
          <w:color w:val="auto"/>
          <w:sz w:val="32"/>
          <w:szCs w:val="32"/>
          <w:u w:val="none"/>
        </w:rPr>
        <w:t>和城市改造中提供更多适合儿童的公共设施和活动场所。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提升面向儿童的公共文化服务水平。制作和传播适合儿童的体现社会主义核心价值观的精神文化产品，鼓励社会组织、文化艺术机构为儿童文化艺术活动提供专业指导和场地支持。公共图书馆单设儿童阅览区，公共图书馆盲人阅览区为盲童阅读提供便利，社区图书馆设立儿童图书专区。爱国主义教育基地、图书馆</w:t>
      </w:r>
      <w:r>
        <w:rPr>
          <w:rFonts w:hint="default" w:ascii="Times New Roman" w:hAnsi="Times New Roman" w:eastAsia="方正仿宋_GBK" w:cs="Times New Roman"/>
          <w:color w:val="000000" w:themeColor="text1"/>
          <w:sz w:val="32"/>
          <w:szCs w:val="32"/>
          <w:u w:val="none"/>
          <w14:textFill>
            <w14:solidFill>
              <w14:schemeClr w14:val="tx1"/>
            </w14:solidFill>
          </w14:textFill>
        </w:rPr>
        <w:t>、青少年</w:t>
      </w:r>
      <w:r>
        <w:rPr>
          <w:rFonts w:hint="default" w:ascii="Times New Roman" w:hAnsi="Times New Roman" w:eastAsia="方正仿宋_GBK" w:cs="Times New Roman"/>
          <w:color w:val="auto"/>
          <w:sz w:val="32"/>
          <w:szCs w:val="32"/>
          <w:u w:val="none"/>
        </w:rPr>
        <w:t>活动中心、</w:t>
      </w:r>
      <w:r>
        <w:rPr>
          <w:rFonts w:hint="default" w:ascii="Times New Roman" w:hAnsi="Times New Roman" w:eastAsia="方正仿宋_GBK" w:cs="Times New Roman"/>
          <w:color w:val="auto"/>
          <w:sz w:val="32"/>
          <w:szCs w:val="32"/>
          <w:u w:val="none"/>
          <w:lang w:val="en-US" w:eastAsia="zh-CN"/>
        </w:rPr>
        <w:t>少年</w:t>
      </w:r>
      <w:r>
        <w:rPr>
          <w:rFonts w:hint="default" w:ascii="Times New Roman" w:hAnsi="Times New Roman" w:eastAsia="方正仿宋_GBK" w:cs="Times New Roman"/>
          <w:color w:val="auto"/>
          <w:sz w:val="32"/>
          <w:szCs w:val="32"/>
          <w:u w:val="none"/>
        </w:rPr>
        <w:t>儿童之家对未成年人免费开放；纪念馆、</w:t>
      </w:r>
      <w:r>
        <w:rPr>
          <w:rFonts w:hint="eastAsia" w:ascii="Times New Roman" w:hAnsi="Times New Roman" w:eastAsia="方正仿宋_GBK" w:cs="Times New Roman"/>
          <w:color w:val="auto"/>
          <w:sz w:val="32"/>
          <w:szCs w:val="32"/>
          <w:u w:val="none"/>
          <w:lang w:eastAsia="zh-CN"/>
        </w:rPr>
        <w:t>流动科技馆</w:t>
      </w:r>
      <w:r>
        <w:rPr>
          <w:rFonts w:hint="default" w:ascii="Times New Roman" w:hAnsi="Times New Roman" w:eastAsia="方正仿宋_GBK" w:cs="Times New Roman"/>
          <w:color w:val="auto"/>
          <w:sz w:val="32"/>
          <w:szCs w:val="32"/>
          <w:u w:val="none"/>
        </w:rPr>
        <w:t>、文化馆按照有关规定对未成年人免费或者优惠开放。相关场馆开设未成年人专场，为未成年人提供有针对性的服务。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加强新闻出版、文化等领域的市场监管和执法。加强对网络平台的监管，实施绿色网络计划，为儿童提供健康向上的网络内容，清除网络平台上有损于儿童身心健康的内容，禁止传播淫秽色情、低俗、暴力恐怖迷信等内容。加强对校园周边环境整治，禁止售卖不利于儿童身心健康的出版物、文化用品及玩具，坚决取缔非法出版物。加强对网络营业场所和娱乐场所的执法监管，严厉查处接待未成年人、雇佣未成年人的行为。加强对零售业的监管，严禁向未成年人销售香烟、酒及含酒精饮料。落实互联网企业主体责任，在产品开发、内容审核、用户管理、保护措施、举报处置等环节完善治理手段。</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规范与儿童相关的广告和商业性活动。规范与儿童有关的产品（服务）广告播出。在面向儿童的大众传播媒介上不得发布医疗、药品、保健食品、医疗器械、化妆品、酒类、美容广告以及不利于儿童身心健康的网络游戏广告。禁止母乳代用品广告宣传。加大对相关虚假违法广告案件的查处力度。规范和限制儿童参加商业性展演活动。禁止利用儿童进行直播带货。对以未成年人为拍摄对象的短视频进行监管，严禁泄露未成年人隐私，严禁利用未成年人牟利；未成年人开直播应有年龄限制及取得监护人同意；严厉打击利用未成年人或以未成年为噱头的网络直播。</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加强儿童媒介素养教育。保障儿童利用和参与媒介的权利，丰富儿童数字生活体验，提高数字生活质量。引导儿童安全、健康使用网络媒介，将媒介素养内容纳入中小学、幼儿园和家庭教育指导服务中，提升儿童及其监护人、教师、儿童工作者等的媒介素养。加强对不同年龄段儿童使用网络的分类教育指导，帮助儿童掌握网络基本知识技能，提高学习交流能力，养成良好的用网习惯，增强信息识别和网上自我保护能力，防止沉迷网络。为</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少数</w:t>
      </w:r>
      <w:r>
        <w:rPr>
          <w:rFonts w:hint="default" w:ascii="Times New Roman" w:hAnsi="Times New Roman" w:eastAsia="方正仿宋_GBK" w:cs="Times New Roman"/>
          <w:color w:val="auto"/>
          <w:sz w:val="32"/>
          <w:szCs w:val="32"/>
          <w:u w:val="none"/>
        </w:rPr>
        <w:t>民族地区儿童、残障儿童、困境儿童安全合理参与网络提供条件。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保障儿童参与和表达的权利。广泛宣传和尊重儿童的参与权，促进儿童参与家庭事务和社会事务。建立儿童参与渠道，培养儿童参与的意识和能力，</w:t>
      </w:r>
      <w:r>
        <w:rPr>
          <w:rFonts w:hint="default" w:ascii="Times New Roman" w:hAnsi="Times New Roman" w:eastAsia="方正仿宋_GBK" w:cs="Times New Roman"/>
          <w:color w:val="000000" w:themeColor="text1"/>
          <w:sz w:val="32"/>
          <w:szCs w:val="32"/>
          <w:u w:val="none"/>
          <w14:textFill>
            <w14:solidFill>
              <w14:schemeClr w14:val="tx1"/>
            </w14:solidFill>
          </w14:textFill>
        </w:rPr>
        <w:t>在实施涉</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及</w:t>
      </w:r>
      <w:r>
        <w:rPr>
          <w:rFonts w:hint="default" w:ascii="Times New Roman" w:hAnsi="Times New Roman" w:eastAsia="方正仿宋_GBK" w:cs="Times New Roman"/>
          <w:color w:val="000000" w:themeColor="text1"/>
          <w:sz w:val="32"/>
          <w:szCs w:val="32"/>
          <w:u w:val="none"/>
          <w14:textFill>
            <w14:solidFill>
              <w14:schemeClr w14:val="tx1"/>
            </w14:solidFill>
          </w14:textFill>
        </w:rPr>
        <w:t>儿童场所建设、公共服务等过程中，听取儿童意见。</w:t>
      </w:r>
      <w:r>
        <w:rPr>
          <w:rFonts w:hint="default" w:ascii="Times New Roman" w:hAnsi="Times New Roman" w:eastAsia="方正仿宋_GBK" w:cs="Times New Roman"/>
          <w:color w:val="auto"/>
          <w:sz w:val="32"/>
          <w:szCs w:val="32"/>
          <w:u w:val="none"/>
        </w:rPr>
        <w:t>将儿童参与纳入学校工作、社区工作计划。支持少先队、共青团、妇联等组织开展社会实践及体验活动，根据儿童年龄特征采取多种方式，让儿童参与到各类活动的设计、实施、评估过程中。畅通学生参与学校、社区及家庭事务的渠道，广泛开展儿童参与的宣传、教育和培训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开展儿童友好城市和儿童友好社区创建工作。将儿童优先、以儿童为本的理念纳入城乡规划建设，推动建立各部门合作机制，开展儿童友好城市和友好社区建设的试点示范工作，探索不同创建模式，加强分类指导，着力打造一批社会政策友好、公共服务友好、权利保障友好、成长空间友好、发展环境友好的儿童友好城市和友好社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加强儿童校外活动场所的建设和管理。发挥</w:t>
      </w:r>
      <w:r>
        <w:rPr>
          <w:rFonts w:hint="default" w:ascii="Times New Roman" w:hAnsi="Times New Roman" w:eastAsia="方正仿宋_GBK" w:cs="Times New Roman"/>
          <w:color w:val="auto"/>
          <w:sz w:val="32"/>
          <w:szCs w:val="32"/>
          <w:u w:val="none"/>
          <w:lang w:eastAsia="zh-CN"/>
        </w:rPr>
        <w:t>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民族文化、历史遗存优势，加强爱国主义教育基地、党史国史教育基地、民族团结进步教育基地、中小学生科普研学基地建设。将儿童活动场所建设纳入地方经济社会发展规划，加大对农村地区和</w:t>
      </w:r>
      <w:r>
        <w:rPr>
          <w:rFonts w:hint="default" w:ascii="Times New Roman" w:hAnsi="Times New Roman" w:eastAsia="方正仿宋_GBK" w:cs="Times New Roman"/>
          <w:color w:val="auto"/>
          <w:sz w:val="32"/>
          <w:szCs w:val="32"/>
          <w:u w:val="none"/>
          <w:lang w:eastAsia="zh-CN"/>
        </w:rPr>
        <w:t>少数</w:t>
      </w:r>
      <w:r>
        <w:rPr>
          <w:rFonts w:hint="default" w:ascii="Times New Roman" w:hAnsi="Times New Roman" w:eastAsia="方正仿宋_GBK" w:cs="Times New Roman"/>
          <w:color w:val="auto"/>
          <w:sz w:val="32"/>
          <w:szCs w:val="32"/>
          <w:u w:val="none"/>
        </w:rPr>
        <w:t>民族地区儿童活动场所建设的扶持力度，在具备条件的校外活动场所普遍建立少先队组织，发挥校外活动场所的育人优势，打造特色鲜明、参与面广的儿童主题活动品牌。</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优化儿童健康成长的自然环境和人居环境。全面开展蓝天、碧水、净土三大保卫战，加强水源保护、水质监测、空气质量监测、土壤监测。提高农村集中供水率、自来水普及率。分类推进农村厕所革命，农村卫生厕所2025年覆盖率达到70%以上，2030年实现基本普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创新开展面向儿童的生态文明宣传教育活动。把生态文明教育纳入国民教育体系，融入课堂教学、校园活动、社会实践等环节。推进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在突发事件预防和应对中加强对儿童的保护。在编制各类突发事件应急预案时统筹考虑儿童的特殊需求。在自然灾害、事故灾难、公共卫生事件、社会安全事件等突发事件应急处置中，为儿童提供风险提醒、紧急避难场所提示、应急救援、转移安置、物资发放等优先保障服务，并提供灾后心理干预和司法援助。丰富儿童类食品、药品、用品等应急物资种类，增加储备数量。社区、学校和各类教育机构广泛开展形式多样的安全教育和应急演练，提高儿童灾难风险辨识和防灾应对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25" w:name="_Toc25454"/>
      <w:r>
        <w:rPr>
          <w:rFonts w:hint="default" w:ascii="Times New Roman" w:hAnsi="Times New Roman" w:eastAsia="方正楷体_GBK" w:cs="Times New Roman"/>
          <w:color w:val="auto"/>
          <w:sz w:val="32"/>
          <w:szCs w:val="32"/>
          <w:u w:val="none"/>
        </w:rPr>
        <w:t>（七）儿童与法律保护</w:t>
      </w:r>
      <w:bookmarkEnd w:id="25"/>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0"/>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pPr>
      <w:bookmarkStart w:id="26" w:name="_Toc28457"/>
      <w:r>
        <w:rPr>
          <w:rFonts w:hint="default" w:ascii="Times New Roman" w:hAnsi="Times New Roman" w:eastAsia="方正仿宋_GBK" w:cs="Times New Roman"/>
          <w:b/>
          <w:bCs/>
          <w:color w:val="000000" w:themeColor="text1"/>
          <w:sz w:val="32"/>
          <w:szCs w:val="32"/>
          <w:u w:val="none"/>
          <w14:textFill>
            <w14:solidFill>
              <w14:schemeClr w14:val="tx1"/>
            </w14:solidFill>
          </w14:textFill>
        </w:rPr>
        <w:t>主要目标：</w:t>
      </w:r>
      <w:bookmarkEnd w:id="26"/>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FF0000"/>
          <w:sz w:val="32"/>
          <w:szCs w:val="32"/>
          <w:u w:val="none"/>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全面贯彻实施有关未成年人保护的法律法规。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加强保障儿童权益和执法工作。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完善儿童司法保护制度，司法工作体系满足儿童身心发展特殊需要。</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未成年人法治素养和自我保护意识进一步提升，成长环境进一步净化，社会公众保护未成年人的意识和能力进一步提高。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进一步保障未成年人民事权益。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落实未成年人监护制度，保障未成年人获得有效监护。</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禁止使用童工，禁止对未成年人的经济剥削。严格监管安排未成年人参与商业活动的行为。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依法严惩性侵害、家庭暴力、拐卖、遗弃等侵犯未成年人人身权利的违法犯罪行为。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依法严惩利用网络侵犯未成年人合法权益的违法犯罪行为。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预防未成年人违法犯罪，对未成年人违法犯罪实行分级干预，</w:t>
      </w:r>
      <w:r>
        <w:rPr>
          <w:rFonts w:hint="default" w:ascii="Times New Roman" w:hAnsi="Times New Roman" w:eastAsia="方正仿宋_GBK" w:cs="Times New Roman"/>
          <w:color w:val="auto"/>
          <w:sz w:val="32"/>
          <w:szCs w:val="32"/>
          <w:u w:val="none"/>
          <w:lang w:eastAsia="zh-CN"/>
        </w:rPr>
        <w:t>精准帮教</w:t>
      </w:r>
      <w:r>
        <w:rPr>
          <w:rFonts w:hint="default" w:ascii="Times New Roman" w:hAnsi="Times New Roman" w:eastAsia="方正仿宋_GBK" w:cs="Times New Roman"/>
          <w:color w:val="auto"/>
          <w:sz w:val="32"/>
          <w:szCs w:val="32"/>
          <w:u w:val="none"/>
        </w:rPr>
        <w:t>降低未成年人犯罪人数占未成年人人口数量的比重。</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outlineLvl w:val="2"/>
        <w:rPr>
          <w:rFonts w:hint="default" w:ascii="Times New Roman" w:hAnsi="Times New Roman" w:eastAsia="方正仿宋_GBK" w:cs="Times New Roman"/>
          <w:b/>
          <w:bCs/>
          <w:color w:val="auto"/>
          <w:sz w:val="32"/>
          <w:szCs w:val="32"/>
          <w:u w:val="none"/>
        </w:rPr>
      </w:pPr>
      <w:bookmarkStart w:id="27" w:name="_Toc8324"/>
      <w:r>
        <w:rPr>
          <w:rFonts w:hint="default" w:ascii="Times New Roman" w:hAnsi="Times New Roman" w:eastAsia="方正仿宋_GBK" w:cs="Times New Roman"/>
          <w:b/>
          <w:bCs/>
          <w:color w:val="auto"/>
          <w:sz w:val="32"/>
          <w:szCs w:val="32"/>
          <w:u w:val="none"/>
        </w:rPr>
        <w:t>策略措施：</w:t>
      </w:r>
      <w:bookmarkEnd w:id="27"/>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全面贯彻实施有关未成年人保护的法律法规。落实《中华人民共和国未成年人保护法》《中华人民共和国预防未成年人犯罪法》等法律，健全保障未成年人生存权、发展权、受保护权和参与权的地方法规体系。</w:t>
      </w:r>
      <w:r>
        <w:rPr>
          <w:rFonts w:hint="default" w:ascii="Times New Roman" w:hAnsi="Times New Roman" w:eastAsia="方正仿宋_GBK" w:cs="Times New Roman"/>
          <w:color w:val="auto"/>
          <w:sz w:val="32"/>
          <w:szCs w:val="32"/>
          <w:u w:val="none"/>
          <w:lang w:eastAsia="zh-CN"/>
        </w:rPr>
        <w:t>根据</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云南省</w:t>
      </w:r>
      <w:r>
        <w:rPr>
          <w:rFonts w:hint="default" w:ascii="Times New Roman" w:hAnsi="Times New Roman" w:eastAsia="方正仿宋_GBK" w:cs="Times New Roman"/>
          <w:color w:val="auto"/>
          <w:sz w:val="32"/>
          <w:szCs w:val="32"/>
          <w:u w:val="none"/>
        </w:rPr>
        <w:t>实施&lt;中华人民共和国家庭教育促进法&gt;办法》</w:t>
      </w:r>
      <w:r>
        <w:rPr>
          <w:rFonts w:hint="default" w:ascii="Times New Roman" w:hAnsi="Times New Roman" w:eastAsia="方正仿宋_GBK" w:cs="Times New Roman"/>
          <w:color w:val="auto"/>
          <w:sz w:val="32"/>
          <w:szCs w:val="32"/>
          <w:u w:val="none"/>
          <w:lang w:eastAsia="zh-CN"/>
        </w:rPr>
        <w:t>认真贯彻落实，进一步总结、</w:t>
      </w:r>
      <w:r>
        <w:rPr>
          <w:rFonts w:hint="default" w:ascii="Times New Roman" w:hAnsi="Times New Roman" w:eastAsia="方正仿宋_GBK" w:cs="Times New Roman"/>
          <w:color w:val="auto"/>
          <w:sz w:val="32"/>
          <w:szCs w:val="32"/>
          <w:u w:val="none"/>
        </w:rPr>
        <w:t>提炼</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我市</w:t>
      </w:r>
      <w:r>
        <w:rPr>
          <w:rFonts w:hint="default" w:ascii="Times New Roman" w:hAnsi="Times New Roman" w:eastAsia="方正仿宋_GBK" w:cs="Times New Roman"/>
          <w:color w:val="auto"/>
          <w:sz w:val="32"/>
          <w:szCs w:val="32"/>
          <w:u w:val="none"/>
        </w:rPr>
        <w:t>未成年人保护的有效实践经验</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落实法律监督、司法建议和法治督查制度。加强对</w:t>
      </w:r>
      <w:r>
        <w:rPr>
          <w:rFonts w:hint="default" w:ascii="Times New Roman" w:hAnsi="Times New Roman" w:eastAsia="方正仿宋_GBK" w:cs="Times New Roman"/>
          <w:color w:val="auto"/>
          <w:sz w:val="32"/>
          <w:szCs w:val="32"/>
          <w:u w:val="none"/>
          <w:lang w:eastAsia="zh-CN"/>
        </w:rPr>
        <w:t>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未成年人保护的理论与实践研究。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严格未成年人保护领域的执法。全面落实保障未成年人权益的主体责任。加大针对未成年人保护的行政执法力度，及时发现和处置监护侵害、家庭暴力、校园及周边安全隐患、食品药品安全隐患等问题。探索建立未成年人保护多部门综合执法制度，探索建立未成年人救助协作制度，强化部门间信息沟通和工作衔接，形成执法、保护、服务合力。</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健全未成年人司法工作体系。加强</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u w:val="none"/>
          <w14:textFill>
            <w14:solidFill>
              <w14:schemeClr w14:val="tx1"/>
            </w14:solidFill>
          </w14:textFill>
        </w:rPr>
        <w:t>未</w:t>
      </w:r>
      <w:r>
        <w:rPr>
          <w:rFonts w:hint="default" w:ascii="Times New Roman" w:hAnsi="Times New Roman" w:eastAsia="方正仿宋_GBK" w:cs="Times New Roman"/>
          <w:color w:val="auto"/>
          <w:sz w:val="32"/>
          <w:szCs w:val="32"/>
          <w:u w:val="none"/>
        </w:rPr>
        <w:t>成年人案件专门审判机构建设，总结推进“少年法庭”建设工作，探索建立符合</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实际的多元化未成年人审判工作格局。加强未成年人检察机构及人员专业化建设，进一步推进未成年人检察业务统一集中办理工作。探索设立少年警务机构，推进少年警务工作专业化。探索设立未成年人法律援助部门或指定专人负责未成年人法律援助事务，加强公安、检察、法院未成年人案件办案组织及人员建设，加大专业培训力度，提升司法机关未成年人案件办理的专业化水平。完善未成年人司法保护工作评价考核标准。加强专业化办案与社会化保护配合衔接，司法机关与政府部门、人民团体、社会组织等有关方面要加强合作，共同做好未成年人引导教育、心理干预、法律援助、社会调查、社会观护、教育矫治、社区矫正等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加强对未成年人的特殊司法保护。依法保障涉案未成年人的隐私权、名誉权以及知情权、参与权等诉讼权利。落实未成年人犯罪案件特别程序关于严格限制适用逮捕措施、指定辩护、社会调查、心理评估、法定代理人或合适成年人到场、附条件不起诉、不公开审理、犯罪记录封存等规定。增强未成年人社区矫正实施效果。落实涉案未成年人与成年人分别关押、分别管理、分别教育制度。</w:t>
      </w:r>
      <w:r>
        <w:rPr>
          <w:rFonts w:hint="default" w:ascii="Times New Roman" w:hAnsi="Times New Roman" w:eastAsia="方正仿宋_GBK" w:cs="Times New Roman"/>
          <w:color w:val="000000" w:themeColor="text1"/>
          <w:sz w:val="32"/>
          <w:szCs w:val="32"/>
          <w:u w:val="none"/>
          <w14:textFill>
            <w14:solidFill>
              <w14:schemeClr w14:val="tx1"/>
            </w14:solidFill>
          </w14:textFill>
        </w:rPr>
        <w:t>有条件的地方建立未成年人帮教基地，探索专门学校教育和行为矫治的有效途径和方法，促进司法保护工作的开展。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依法为未成年人提供法律援助和司法救助。推进未成年人保护公共法律服务网络、实体、热线平台建设，为未成年人提供免费的法律咨询、法律援助服务。扩大法律援助覆盖面，推进法律援助标准化、规范化建设，推进专业化未成年人法律援助队伍建设。保障符合法定条件的未成年人获得有针对性的法律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加强未成年人保护的法治宣传教育。落实《青少年法治教育大纲》，完善学校、家庭、社会共同参与的未成年人法治教育工作机制，健全完善司法人员担任法治副校长及法治进校园工作机制。推进青少年法治教育实践基地和法治资源教室建设，通过法治进校园、以案释法、模拟法庭、少年警队等多样化方式深入开展法治教育和法治实践活动，提高未成年人法治素养。把法治教育纳入精神文明创建和平安</w:t>
      </w:r>
      <w:r>
        <w:rPr>
          <w:rFonts w:hint="default" w:ascii="Times New Roman" w:hAnsi="Times New Roman" w:eastAsia="方正仿宋_GBK" w:cs="Times New Roman"/>
          <w:color w:val="auto"/>
          <w:sz w:val="32"/>
          <w:szCs w:val="32"/>
          <w:u w:val="none"/>
          <w:lang w:eastAsia="zh-CN"/>
        </w:rPr>
        <w:t>文山</w:t>
      </w:r>
      <w:r>
        <w:rPr>
          <w:rFonts w:hint="default" w:ascii="Times New Roman" w:hAnsi="Times New Roman" w:eastAsia="方正仿宋_GBK" w:cs="Times New Roman"/>
          <w:color w:val="auto"/>
          <w:sz w:val="32"/>
          <w:szCs w:val="32"/>
          <w:u w:val="none"/>
        </w:rPr>
        <w:t>建设内容，引导媒体广泛宣传与未成年人保护相关的法律法规，客观、审慎、适度采访和报道涉未成年人案件。加大普法力度，提高家长、教师、社会公众的法治意识，推动形成依法保护未成年人的良好氛围。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全面保障未成年人的民事权益。依法保障未成年人的人身权、财产权和其他合法权益。开展涉及未成年人权益纠纷人民调解工作，探索父母婚内分居期间未成年人子女权益保护措施，依法保障父母离婚后未成年子女获得探望、抚养、教育、保护的权利。</w:t>
      </w:r>
      <w:r>
        <w:rPr>
          <w:rFonts w:hint="default" w:ascii="Times New Roman" w:hAnsi="Times New Roman" w:eastAsia="方正仿宋_GBK" w:cs="Times New Roman"/>
          <w:color w:val="000000" w:themeColor="text1"/>
          <w:sz w:val="32"/>
          <w:szCs w:val="32"/>
          <w:u w:val="none"/>
          <w14:textFill>
            <w14:solidFill>
              <w14:schemeClr w14:val="tx1"/>
            </w14:solidFill>
          </w14:textFill>
        </w:rPr>
        <w:t>从有利于未成年人健康成长的角度出发，推行社会调查、社会观护、心理疏导、司法救助、诉讼教育等制度。</w:t>
      </w:r>
      <w:r>
        <w:rPr>
          <w:rFonts w:hint="default" w:ascii="Times New Roman" w:hAnsi="Times New Roman" w:eastAsia="方正仿宋_GBK" w:cs="Times New Roman"/>
          <w:color w:val="auto"/>
          <w:sz w:val="32"/>
          <w:szCs w:val="32"/>
          <w:u w:val="none"/>
        </w:rPr>
        <w:t>依法保障遗产继承、接受赠与等未成年人和胎儿权益。依法保护未成年人名誉、隐私和个人信息等人格权。完善支持起诉制度。对食品药品安全、产品质量、烟酒销售、文化宣传、网络传播以及其他领域侵害未成年人合法权益的行为，开展公益诉讼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8.</w:t>
      </w:r>
      <w:r>
        <w:rPr>
          <w:rFonts w:hint="default" w:ascii="Times New Roman" w:hAnsi="Times New Roman" w:eastAsia="方正仿宋_GBK" w:cs="Times New Roman"/>
          <w:color w:val="auto"/>
          <w:sz w:val="32"/>
          <w:szCs w:val="32"/>
          <w:u w:val="none"/>
        </w:rPr>
        <w:t>完善落实未成年人监护制度。强化家庭监护主体责任，父母依法履行对未成年子女的抚养、教育和保护义务，依法规范父母或其他监护人委托他人照护未成年人子女的行为。加强家庭监护的监督、指导和帮助，确保突发事件情况下无人照料的儿童及时获得必要的临时生活照料。强化村（居）民委员会对父母或其他监护人和委托照护的监督责任，村（居）儿童主任切实做好未成年人监护风险或受到监护侵害情况的发现、核实、报告工作。探索建立监护风险及异常状况评估制度。加强监护干预，及时制止和纠正监护人侵害未成年人权益事件，依法依规对监护人予以训诫、教育、惩处，依法撤销监护人资格，符合法定情形的可依法恢复监护人资格。落实国家监护制度，符合法定情形的未成年人由</w:t>
      </w:r>
      <w:r>
        <w:rPr>
          <w:rFonts w:hint="default" w:ascii="Times New Roman" w:hAnsi="Times New Roman" w:eastAsia="方正仿宋_GBK" w:cs="Times New Roman"/>
          <w:color w:val="auto"/>
          <w:sz w:val="32"/>
          <w:szCs w:val="32"/>
          <w:u w:val="none"/>
          <w:lang w:val="en-US" w:eastAsia="zh-CN"/>
        </w:rPr>
        <w:t>市民政局</w:t>
      </w:r>
      <w:r>
        <w:rPr>
          <w:rFonts w:hint="default" w:ascii="Times New Roman" w:hAnsi="Times New Roman" w:eastAsia="方正仿宋_GBK" w:cs="Times New Roman"/>
          <w:color w:val="auto"/>
          <w:sz w:val="32"/>
          <w:szCs w:val="32"/>
          <w:u w:val="none"/>
        </w:rPr>
        <w:t>代表国家进行监护。依法妥善安置由民政部门长期监护的未成年人。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9.</w:t>
      </w:r>
      <w:r>
        <w:rPr>
          <w:rFonts w:hint="default" w:ascii="Times New Roman" w:hAnsi="Times New Roman" w:eastAsia="方正仿宋_GBK" w:cs="Times New Roman"/>
          <w:color w:val="auto"/>
          <w:sz w:val="32"/>
          <w:szCs w:val="32"/>
          <w:u w:val="none"/>
        </w:rPr>
        <w:t>严厉查处使用童工等违法犯罪行为。加大劳动保护监察力度，加强专项检查和日常检查。健全对违法使用童工的监督、惩处机制。对企业、个人、网络平台等吸纳未成年人参与广告拍摄、商业代言、演出、赛事、节目制作、网络直播等进行监督管理，依法严惩侵犯未成年人合法权益的行为。严格执行未成年工特殊保护规定，禁止安排未成年工从事过重、有毒、有害等劳动或危险作业。督促指导用人单位定期对未成年工进行健康检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10.</w:t>
      </w:r>
      <w:r>
        <w:rPr>
          <w:rFonts w:hint="default" w:ascii="Times New Roman" w:hAnsi="Times New Roman" w:eastAsia="方正仿宋_GBK" w:cs="Times New Roman"/>
          <w:color w:val="auto"/>
          <w:sz w:val="32"/>
          <w:szCs w:val="32"/>
          <w:u w:val="none"/>
        </w:rPr>
        <w:t>预防和依法严惩性侵害未成年人违法犯罪行为。加强未成年人预防性侵害教育，提高未成年人、家庭、学校、村（社区）识别防范性侵害和发现报告的意识和能力。建立重点人群和高风险家庭排查机制。探索建立性侵害未成年人犯罪人员信息公开制度，落实密切接触未成年人单位从业人员准入查询及从业禁止制度。严格落实外籍教师无犯罪证明备案制度。落实强制报告制度。加强立案和立案监督，完善立案标准和定罪量刑标准。依法严惩对未成年人负有特殊职责人员实施的性侵害行为，依法严惩组织、强迫、引诱、留容、介绍未成年人卖淫犯罪。建立未成年被害人“一站式”取证机制，保护未成年人免受“二次伤害”。</w:t>
      </w:r>
      <w:r>
        <w:rPr>
          <w:rFonts w:hint="default" w:ascii="Times New Roman" w:hAnsi="Times New Roman" w:eastAsia="方正仿宋_GBK" w:cs="Times New Roman"/>
          <w:color w:val="000000" w:themeColor="text1"/>
          <w:sz w:val="32"/>
          <w:szCs w:val="32"/>
          <w:u w:val="none"/>
          <w14:textFill>
            <w14:solidFill>
              <w14:schemeClr w14:val="tx1"/>
            </w14:solidFill>
          </w14:textFill>
        </w:rPr>
        <w:t>探索制定性侵未成年人案件特殊证据标准，</w:t>
      </w:r>
      <w:r>
        <w:rPr>
          <w:rFonts w:hint="default" w:ascii="Times New Roman" w:hAnsi="Times New Roman" w:eastAsia="方正仿宋_GBK" w:cs="Times New Roman"/>
          <w:color w:val="auto"/>
          <w:sz w:val="32"/>
          <w:szCs w:val="32"/>
          <w:u w:val="none"/>
        </w:rPr>
        <w:t>建立多部门预防和处置性侵未成年人违法犯罪的联动协作机制。对遭受性侵害或者暴力伤害的未成年被害人及其家庭实施必要的心理干预、经济救助、法律援助、转学安置等保护措施。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11.</w:t>
      </w:r>
      <w:r>
        <w:rPr>
          <w:rFonts w:hint="default" w:ascii="Times New Roman" w:hAnsi="Times New Roman" w:eastAsia="方正仿宋_GBK" w:cs="Times New Roman"/>
          <w:color w:val="auto"/>
          <w:sz w:val="32"/>
          <w:szCs w:val="32"/>
          <w:u w:val="none"/>
        </w:rPr>
        <w:t>预防和依法严惩对未成年人实施家庭暴力的违法犯罪行为。引导家长树立正确的教育观念，采取科学的方式进行家庭教育。强化相关主体强制报告意识，促进和落实相关主体履行强制报告义务。及时受理未成年人遭受家庭暴力伤害的违法犯罪案件，及时调查、立案和转处。根据《</w:t>
      </w:r>
      <w:r>
        <w:rPr>
          <w:rFonts w:hint="default" w:ascii="Times New Roman" w:hAnsi="Times New Roman" w:eastAsia="方正仿宋_GBK" w:cs="Times New Roman"/>
          <w:color w:val="auto"/>
          <w:sz w:val="32"/>
          <w:szCs w:val="32"/>
          <w:u w:val="none"/>
          <w:lang w:eastAsia="zh-CN"/>
        </w:rPr>
        <w:t>云南省</w:t>
      </w:r>
      <w:r>
        <w:rPr>
          <w:rFonts w:hint="default" w:ascii="Times New Roman" w:hAnsi="Times New Roman" w:eastAsia="方正仿宋_GBK" w:cs="Times New Roman"/>
          <w:color w:val="auto"/>
          <w:sz w:val="32"/>
          <w:szCs w:val="32"/>
          <w:u w:val="none"/>
        </w:rPr>
        <w:t>反家庭暴力条例》，制定相关工作指引，充分运用告诫书、人身安全保护令、撤销监护人资格等措施，加强对施暴人的教育和惩戒。对构成犯罪的施暴人依法追究刑事责任，从严处理重大恶性案件。保护未成年被害人的隐私和安全，及时为有需求的未成年被害人提供心理疏导、医疗救治和临时庇护。</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rPr>
        <w:t>严厉打击拐卖儿童、引诱胁迫儿童涉毒、涉黑、涉恶等违法犯罪行为。完善预防、打击、救助、安置、康复于一体的反拐工作长效机制，实施反对拐卖人口行动计划。加大对出卖亲生子女犯罪的预防和打击力度，完善孕产妇就医生产身份核实机制，完善亲子鉴定证明和出生医学证明开具制度。妥善安置查找不到亲生父母和自生自卖类案件的被解救儿童。实施青少年毒品预防教育工程，提高未成年人对毒品的防范意识。开展对引诱、教唆、欺骗、强迫、容留儿童吸毒犯罪专项打击行动，依法惩处涉及未成年人的毒品违法犯罪活动。依法严惩胁迫、引诱、教唆未成年人参与黑社会性质组织从事违法犯罪活动的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13.</w:t>
      </w:r>
      <w:r>
        <w:rPr>
          <w:rFonts w:hint="default" w:ascii="Times New Roman" w:hAnsi="Times New Roman" w:eastAsia="方正仿宋_GBK" w:cs="Times New Roman"/>
          <w:color w:val="auto"/>
          <w:sz w:val="32"/>
          <w:szCs w:val="32"/>
          <w:u w:val="none"/>
        </w:rPr>
        <w:t>严厉打击侵犯未成年人合法权益的网络违法犯罪行为。加强对网络空间涉及未成年人违法犯罪的分析研究，以案释法，提高公众未成年人网络保护的意识和能力。禁止制作、复制、发布、传播或者持有有关未成年人的淫秽色情物品和网络信息。依法严惩利用网络性引诱、性侵害未成年人违法犯罪行为。禁止对未成年人实施侮辱、诽谤、威胁或者恶意损害形象等网络欺凌行为。严厉打击利用网络诱骗未成年人参与赌博以及敲诈勒索、实施金融诈骗等违法犯罪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14.</w:t>
      </w:r>
      <w:r>
        <w:rPr>
          <w:rFonts w:hint="default" w:ascii="Times New Roman" w:hAnsi="Times New Roman" w:eastAsia="方正仿宋_GBK" w:cs="Times New Roman"/>
          <w:color w:val="auto"/>
          <w:sz w:val="32"/>
          <w:szCs w:val="32"/>
          <w:u w:val="none"/>
        </w:rPr>
        <w:t>有效预防未成年人违法犯罪</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认真贯彻执行中共云南省委、中共文山州委《关于进一步加强预防未成年人违法犯罪工作方案》。实施预防未成年人违法犯罪工程，加强对未成年人的法治和预防犯罪教育。落实未成年人违法犯罪分级干预制度，采取干预措施，及时发现、制止、管教未成年人不良行为。及时制止、处理未成年人严重不良行为和未达刑事责任年龄未成年人严重危害他人及社会的行为，依法采取教育矫治措施。强化家庭监护和学校教育职责，防止未成年人脱离家庭、学校，确保及时发现不良行为并采取有效预防措施。推动建立未成年人法治教育中心</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对涉罪未成年人坚持依法惩戒与精准帮教相结合，增强教育矫治效果，预防重新犯罪。保障涉罪未成年人免受歧视，依法实现在复学、升学、就业等方面的同等权利。</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0"/>
        <w:rPr>
          <w:rFonts w:hint="default" w:ascii="Times New Roman" w:hAnsi="Times New Roman" w:eastAsia="方正黑体_GBK" w:cs="Times New Roman"/>
          <w:color w:val="auto"/>
          <w:sz w:val="32"/>
          <w:szCs w:val="32"/>
          <w:u w:val="none"/>
        </w:rPr>
      </w:pPr>
      <w:bookmarkStart w:id="28" w:name="_Toc19394"/>
      <w:r>
        <w:rPr>
          <w:rFonts w:hint="default" w:ascii="Times New Roman" w:hAnsi="Times New Roman" w:eastAsia="方正黑体_GBK" w:cs="Times New Roman"/>
          <w:color w:val="auto"/>
          <w:sz w:val="32"/>
          <w:szCs w:val="32"/>
          <w:u w:val="none"/>
        </w:rPr>
        <w:t>三、组织实施</w:t>
      </w:r>
      <w:bookmarkEnd w:id="28"/>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29" w:name="_Toc5447"/>
      <w:r>
        <w:rPr>
          <w:rFonts w:hint="default" w:ascii="Times New Roman" w:hAnsi="Times New Roman" w:eastAsia="方正楷体_GBK" w:cs="Times New Roman"/>
          <w:color w:val="auto"/>
          <w:sz w:val="32"/>
          <w:szCs w:val="32"/>
          <w:u w:val="none"/>
        </w:rPr>
        <w:t>（一）加强规划实施工作的组织领导</w:t>
      </w:r>
      <w:bookmarkEnd w:id="29"/>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坚持党的全面领导。坚持以习近平新时代中国特色社会主义思想为指导，坚持以人民为中心的发展思想，坚持走中国特色社会主义儿童发展道路，把党的领导贯穿于规划组织实施全过程。贯彻党中央关于儿童事业发展的决策部署，在统筹推进“五位一体”总体布局、协调推进“四个全面”战略布局中推进规划实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落实规划实施的主体责任。完善落实党委领导、政府主责、妇儿工委协调、多部门合作、全社会参与的规划实施工作机制。</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u w:val="none"/>
          <w14:textFill>
            <w14:solidFill>
              <w14:schemeClr w14:val="tx1"/>
            </w14:solidFill>
          </w14:textFill>
        </w:rPr>
        <w:t>人民政府负责规划实施工作，</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u w:val="none"/>
          <w14:textFill>
            <w14:solidFill>
              <w14:schemeClr w14:val="tx1"/>
            </w14:solidFill>
          </w14:textFill>
        </w:rPr>
        <w:t>妇儿工委负责组织、协调、指导、督促工作，各级妇儿工委办公室负责具体工作。</w:t>
      </w:r>
      <w:r>
        <w:rPr>
          <w:rFonts w:hint="default" w:ascii="Times New Roman" w:hAnsi="Times New Roman" w:eastAsia="方正仿宋_GBK" w:cs="Times New Roman"/>
          <w:color w:val="auto"/>
          <w:sz w:val="32"/>
          <w:szCs w:val="32"/>
          <w:u w:val="none"/>
        </w:rPr>
        <w:t>有关部门、相关机构和人民团体结合职责，承担规划目标任务落实工作。在</w:t>
      </w:r>
      <w:r>
        <w:rPr>
          <w:rFonts w:hint="default" w:ascii="Times New Roman" w:hAnsi="Times New Roman" w:eastAsia="方正仿宋_GBK" w:cs="Times New Roman"/>
          <w:color w:val="auto"/>
          <w:sz w:val="32"/>
          <w:szCs w:val="32"/>
          <w:u w:val="none"/>
          <w:lang w:eastAsia="zh-CN"/>
        </w:rPr>
        <w:t>制定</w:t>
      </w:r>
      <w:r>
        <w:rPr>
          <w:rFonts w:hint="default" w:ascii="Times New Roman" w:hAnsi="Times New Roman" w:eastAsia="方正仿宋_GBK" w:cs="Times New Roman"/>
          <w:color w:val="auto"/>
          <w:sz w:val="32"/>
          <w:szCs w:val="32"/>
          <w:u w:val="none"/>
        </w:rPr>
        <w:t>政策、编制规划、配置资源、部署工作时贯彻落实儿童优先原则，切实保障儿童权益，促进儿童优先发展。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加强规划与</w:t>
      </w:r>
      <w:r>
        <w:rPr>
          <w:rFonts w:hint="default" w:ascii="Times New Roman" w:hAnsi="Times New Roman" w:eastAsia="方正仿宋_GBK" w:cs="Times New Roman"/>
          <w:color w:val="auto"/>
          <w:sz w:val="32"/>
          <w:szCs w:val="32"/>
          <w:u w:val="none"/>
          <w:lang w:eastAsia="zh-CN"/>
        </w:rPr>
        <w:t>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国民经济和社会发展规划的衔接。在经济社会发展总体规划及相关专项规划中贯彻落实儿童优先原则，</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市人民</w:t>
      </w:r>
      <w:r>
        <w:rPr>
          <w:rFonts w:hint="default" w:ascii="Times New Roman" w:hAnsi="Times New Roman" w:eastAsia="方正仿宋_GBK" w:cs="Times New Roman"/>
          <w:color w:val="000000" w:themeColor="text1"/>
          <w:sz w:val="32"/>
          <w:szCs w:val="32"/>
          <w:u w:val="none"/>
          <w14:textFill>
            <w14:solidFill>
              <w14:schemeClr w14:val="tx1"/>
            </w14:solidFill>
          </w14:textFill>
        </w:rPr>
        <w:t>政府和</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32"/>
          <w:szCs w:val="32"/>
          <w:u w:val="none"/>
          <w14:textFill>
            <w14:solidFill>
              <w14:schemeClr w14:val="tx1"/>
            </w14:solidFill>
          </w14:textFill>
        </w:rPr>
        <w:t>部门应将规划实施以及儿童发展主要目标任务纳入经济社会发展总体规划及相关专项规划，结合经济社会发展总体规划部署要求推进规划实施工作，实现儿童发展与经济社会发展同步规划、同步部署、同步推进、同步落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制定地方儿童发展规划和部门实施方案</w:t>
      </w:r>
      <w:r>
        <w:rPr>
          <w:rFonts w:hint="default" w:ascii="Times New Roman" w:hAnsi="Times New Roman" w:eastAsia="方正仿宋_GBK" w:cs="Times New Roman"/>
          <w:color w:val="000000" w:themeColor="text1"/>
          <w:sz w:val="32"/>
          <w:szCs w:val="32"/>
          <w:u w:val="none"/>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人民政府依据州儿童发展规划，结合实际制定</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auto"/>
          <w:sz w:val="32"/>
          <w:szCs w:val="32"/>
          <w:u w:val="none"/>
          <w:lang w:val="en-US" w:eastAsia="zh-CN"/>
        </w:rPr>
        <w:t>级</w:t>
      </w:r>
      <w:r>
        <w:rPr>
          <w:rFonts w:hint="default" w:ascii="Times New Roman" w:hAnsi="Times New Roman" w:eastAsia="方正仿宋_GBK" w:cs="Times New Roman"/>
          <w:color w:val="auto"/>
          <w:sz w:val="32"/>
          <w:szCs w:val="32"/>
          <w:u w:val="none"/>
        </w:rPr>
        <w:t>儿童发展规划。</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市级</w:t>
      </w:r>
      <w:r>
        <w:rPr>
          <w:rFonts w:hint="default" w:ascii="Times New Roman" w:hAnsi="Times New Roman" w:eastAsia="方正仿宋_GBK" w:cs="Times New Roman"/>
          <w:color w:val="auto"/>
          <w:sz w:val="32"/>
          <w:szCs w:val="32"/>
          <w:u w:val="none"/>
        </w:rPr>
        <w:t>规划颁布后1个月内报送</w:t>
      </w:r>
      <w:r>
        <w:rPr>
          <w:rFonts w:hint="default" w:ascii="Times New Roman" w:hAnsi="Times New Roman" w:eastAsia="方正仿宋_GBK" w:cs="Times New Roman"/>
          <w:color w:val="auto"/>
          <w:sz w:val="32"/>
          <w:szCs w:val="32"/>
          <w:u w:val="none"/>
          <w:lang w:eastAsia="zh-CN"/>
        </w:rPr>
        <w:t>州</w:t>
      </w:r>
      <w:r>
        <w:rPr>
          <w:rFonts w:hint="default" w:ascii="Times New Roman" w:hAnsi="Times New Roman" w:eastAsia="方正仿宋_GBK" w:cs="Times New Roman"/>
          <w:color w:val="auto"/>
          <w:sz w:val="32"/>
          <w:szCs w:val="32"/>
          <w:u w:val="none"/>
        </w:rPr>
        <w:t>妇儿工委办公室。承担规划目标任务的有关部门、相关机构和人民团体结合职责，按照任务分工，制定实施方案并报送</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妇儿工委办公室。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加强儿童发展经费支持</w:t>
      </w:r>
      <w:r>
        <w:rPr>
          <w:rFonts w:hint="default" w:ascii="Times New Roman" w:hAnsi="Times New Roman" w:eastAsia="方正仿宋_GBK" w:cs="Times New Roman"/>
          <w:color w:val="000000" w:themeColor="text1"/>
          <w:sz w:val="32"/>
          <w:szCs w:val="32"/>
          <w:u w:val="none"/>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人民政府将实施规划所需工作经费纳入财政预算，建立经费投入增长机制，实现儿童事业和经济社会同步发展。重点支持民族地区、欠发达地区儿童发展，加大对特殊困难儿童群体发展的支持。动员</w:t>
      </w:r>
      <w:r>
        <w:rPr>
          <w:rFonts w:hint="default" w:ascii="Times New Roman" w:hAnsi="Times New Roman" w:eastAsia="方正仿宋_GBK" w:cs="Times New Roman"/>
          <w:color w:val="auto"/>
          <w:sz w:val="32"/>
          <w:szCs w:val="32"/>
          <w:u w:val="none"/>
          <w:lang w:eastAsia="zh-CN"/>
        </w:rPr>
        <w:t>全</w:t>
      </w:r>
      <w:r>
        <w:rPr>
          <w:rFonts w:hint="default" w:ascii="Times New Roman" w:hAnsi="Times New Roman" w:eastAsia="方正仿宋_GBK" w:cs="Times New Roman"/>
          <w:color w:val="auto"/>
          <w:sz w:val="32"/>
          <w:szCs w:val="32"/>
          <w:u w:val="none"/>
        </w:rPr>
        <w:t>社会力量，多渠道筹集资源，共同发展儿童事业。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30" w:name="_Toc31596"/>
      <w:r>
        <w:rPr>
          <w:rFonts w:hint="default" w:ascii="Times New Roman" w:hAnsi="Times New Roman" w:eastAsia="方正楷体_GBK" w:cs="Times New Roman"/>
          <w:color w:val="auto"/>
          <w:sz w:val="32"/>
          <w:szCs w:val="32"/>
          <w:u w:val="none"/>
        </w:rPr>
        <w:t>（二）完善实施规划的工作制度机制</w:t>
      </w:r>
      <w:bookmarkEnd w:id="3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健全目标管理责任制。将规划实施纳入政府议事日程和考核内容，将规划目标分解到责任单位并纳入目标管理和考核内容。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健全督导检查制度。将实施规划情况纳入党委政府的督查内容，建立专项督查与常规督查相结合，定期或不定期对规划实施情况开展督查。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FF0000"/>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健全报告制度。责任单位每年向</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妇儿工委报告</w:t>
      </w:r>
      <w:r>
        <w:rPr>
          <w:rFonts w:hint="default" w:ascii="Times New Roman" w:hAnsi="Times New Roman" w:eastAsia="方正仿宋_GBK" w:cs="Times New Roman"/>
          <w:color w:val="auto"/>
          <w:sz w:val="32"/>
          <w:szCs w:val="32"/>
          <w:u w:val="none"/>
          <w:lang w:eastAsia="zh-CN"/>
        </w:rPr>
        <w:t>规划</w:t>
      </w:r>
      <w:r>
        <w:rPr>
          <w:rFonts w:hint="default" w:ascii="Times New Roman" w:hAnsi="Times New Roman" w:eastAsia="方正仿宋_GBK" w:cs="Times New Roman"/>
          <w:color w:val="auto"/>
          <w:sz w:val="32"/>
          <w:szCs w:val="32"/>
          <w:u w:val="none"/>
        </w:rPr>
        <w:t>实施情况和下一年工作安排</w:t>
      </w:r>
      <w:r>
        <w:rPr>
          <w:rFonts w:hint="default" w:ascii="Times New Roman" w:hAnsi="Times New Roman" w:eastAsia="方正仿宋_GBK" w:cs="Times New Roman"/>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健全议事协调制度。完善委员会议事协调工作规则，每5年召开1次妇女儿童工作会议、每年至少召开1次妇儿工委全体会议、联络员会议等，总结交流情况，研究解决问题，部署工作任务。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健全规划实施示范制度。完善实施规划示范工作机制，加强示范单位的动态管理，充分发挥示范以点带面、示范带动作用。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健全表彰表扬制度。对实施规划的先进集体和个人按照</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国家、省和州</w:t>
      </w:r>
      <w:r>
        <w:rPr>
          <w:rFonts w:hint="default" w:ascii="Times New Roman" w:hAnsi="Times New Roman" w:eastAsia="方正仿宋_GBK" w:cs="Times New Roman"/>
          <w:color w:val="auto"/>
          <w:sz w:val="32"/>
          <w:szCs w:val="32"/>
          <w:u w:val="none"/>
        </w:rPr>
        <w:t>有关规定进行表彰或表扬。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健全联络员工作机制。加强联络员队伍建设，加强联络员定期交流学习培训，提高联络员队伍的履职能力和责任意识，开展定点联系工作。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31" w:name="_Toc21391"/>
      <w:r>
        <w:rPr>
          <w:rFonts w:hint="default" w:ascii="Times New Roman" w:hAnsi="Times New Roman" w:eastAsia="方正楷体_GBK" w:cs="Times New Roman"/>
          <w:color w:val="auto"/>
          <w:sz w:val="32"/>
          <w:szCs w:val="32"/>
          <w:u w:val="none"/>
        </w:rPr>
        <w:t>（三）提高规划实施的能力和水平</w:t>
      </w:r>
      <w:bookmarkEnd w:id="31"/>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rPr>
        <w:t>坚持和创新实施规划的有效做法。</w:t>
      </w:r>
      <w:r>
        <w:rPr>
          <w:rFonts w:hint="default" w:ascii="Times New Roman" w:hAnsi="Times New Roman" w:eastAsia="方正仿宋_GBK" w:cs="Times New Roman"/>
          <w:color w:val="000000" w:themeColor="text1"/>
          <w:sz w:val="32"/>
          <w:szCs w:val="32"/>
          <w:u w:val="none"/>
          <w14:textFill>
            <w14:solidFill>
              <w14:schemeClr w14:val="tx1"/>
            </w14:solidFill>
          </w14:textFill>
        </w:rPr>
        <w:t>回应儿童及家庭关切，完善儿童权利保障机制。</w:t>
      </w:r>
      <w:r>
        <w:rPr>
          <w:rFonts w:hint="default" w:ascii="Times New Roman" w:hAnsi="Times New Roman" w:eastAsia="方正仿宋_GBK" w:cs="Times New Roman"/>
          <w:color w:val="auto"/>
          <w:sz w:val="32"/>
          <w:szCs w:val="32"/>
          <w:u w:val="none"/>
        </w:rPr>
        <w:t>围绕解决儿童发展中的重点难点问题，推动实施一批促进儿童发展的重点工程项目，并纳入民生实事项目，具体项目根据各领域目标任务由各地及各相关部门负责组织实施。完善定点联系工作机制，创新定点联系的工作方式，加强分类指导加大资源整合，充分发挥各成员单位实施规划的主体责任。</w:t>
      </w:r>
      <w:r>
        <w:rPr>
          <w:rFonts w:hint="default" w:ascii="Times New Roman" w:hAnsi="Times New Roman" w:eastAsia="方正仿宋_GBK" w:cs="Times New Roman"/>
          <w:color w:val="000000" w:themeColor="text1"/>
          <w:sz w:val="32"/>
          <w:szCs w:val="32"/>
          <w:u w:val="none"/>
          <w14:textFill>
            <w14:solidFill>
              <w14:schemeClr w14:val="tx1"/>
            </w14:solidFill>
          </w14:textFill>
        </w:rPr>
        <w:t>建立政府、部门与高校合作的工作机制，推动建立“人才培养、学科建设、理论研究、社会服务”四位一体的工作模式，为实施规划培养人才和提供技术支撑。</w:t>
      </w:r>
      <w:r>
        <w:rPr>
          <w:rFonts w:hint="default" w:ascii="Times New Roman" w:hAnsi="Times New Roman" w:eastAsia="方正仿宋_GBK" w:cs="Times New Roman"/>
          <w:color w:val="auto"/>
          <w:sz w:val="32"/>
          <w:szCs w:val="32"/>
          <w:u w:val="none"/>
        </w:rPr>
        <w:t>继续发挥社会力量在实施规划中的重要作用，通过政府购买服务等方式，不断提高儿童工作的专业化服务能力和水平。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加强实施规划能力建设。将习近平总书记关于儿童和儿童工作的重要论述，儿童优先原则、规划及相关法律法规政策等，纳入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市委</w:t>
      </w:r>
      <w:r>
        <w:rPr>
          <w:rFonts w:hint="default" w:ascii="Times New Roman" w:hAnsi="Times New Roman" w:eastAsia="方正仿宋_GBK" w:cs="Times New Roman"/>
          <w:color w:val="auto"/>
          <w:sz w:val="32"/>
          <w:szCs w:val="32"/>
          <w:u w:val="none"/>
        </w:rPr>
        <w:t>党校（行政学院）及领导干部的培训计划和培训课程，举办多层次、多形式培训，增强政府有关部门、相关机构和人员实施规划的责任意识和能力。将实施规划的业务知识纳入各部门的培训计划及内容，提高工作人员实施规划的能力。以政治建设为统领，加强妇儿工委及其办公室能力建设，推进职能优化高效，为更好履职尽责提供必要的人力物力财力支持，为规划实施提供组织保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加大实施规划宣传力度。大力宣传习近平总书记关于儿童工作的重要论述，宣传党中央对儿童事业发展的重要决策部署，宣传在党的坚强领导下儿童事业发展的成就，宣传儿童优先原则和保障儿童权益、促进儿童发展的法规政策，宣传规划内容及规划实施的经验和成效，努力营造关爱儿童、有利于儿童发展的社会氛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4.</w:t>
      </w:r>
      <w:r>
        <w:rPr>
          <w:rFonts w:hint="default" w:ascii="Times New Roman" w:hAnsi="Times New Roman" w:eastAsia="方正仿宋_GBK" w:cs="Times New Roman"/>
          <w:color w:val="auto"/>
          <w:sz w:val="32"/>
          <w:szCs w:val="32"/>
          <w:u w:val="none"/>
        </w:rPr>
        <w:t>鼓励社会各界广泛参与规划实施。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0"/>
        <w:rPr>
          <w:rFonts w:hint="default" w:ascii="Times New Roman" w:hAnsi="Times New Roman" w:eastAsia="方正黑体_GBK" w:cs="Times New Roman"/>
          <w:color w:val="auto"/>
          <w:sz w:val="32"/>
          <w:szCs w:val="32"/>
          <w:u w:val="none"/>
        </w:rPr>
      </w:pPr>
      <w:bookmarkStart w:id="32" w:name="_Toc29537"/>
      <w:r>
        <w:rPr>
          <w:rFonts w:hint="default" w:ascii="Times New Roman" w:hAnsi="Times New Roman" w:eastAsia="方正黑体_GBK" w:cs="Times New Roman"/>
          <w:color w:val="auto"/>
          <w:sz w:val="32"/>
          <w:szCs w:val="32"/>
          <w:u w:val="none"/>
        </w:rPr>
        <w:t>四、监测评估</w:t>
      </w:r>
      <w:bookmarkEnd w:id="32"/>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color w:val="auto"/>
          <w:sz w:val="32"/>
          <w:szCs w:val="32"/>
          <w:u w:val="none"/>
        </w:rPr>
        <w:t>（一）加强监测评估制度建设。</w:t>
      </w:r>
      <w:r>
        <w:rPr>
          <w:rFonts w:hint="default" w:ascii="Times New Roman" w:hAnsi="Times New Roman" w:eastAsia="方正仿宋_GBK" w:cs="Times New Roman"/>
          <w:color w:val="auto"/>
          <w:sz w:val="32"/>
          <w:szCs w:val="32"/>
          <w:u w:val="none"/>
        </w:rPr>
        <w:t>对实施规划情况实行年度监测、中期评估、终期评估。落实并逐步完善儿童统计监测方案。</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由</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统计</w:t>
      </w:r>
      <w:r>
        <w:rPr>
          <w:rFonts w:hint="default" w:ascii="Times New Roman" w:hAnsi="Times New Roman" w:eastAsia="方正仿宋_GBK" w:cs="Times New Roman"/>
          <w:color w:val="auto"/>
          <w:sz w:val="32"/>
          <w:szCs w:val="32"/>
          <w:u w:val="none"/>
          <w:lang w:val="en-US" w:eastAsia="zh-CN"/>
        </w:rPr>
        <w:t>局</w:t>
      </w:r>
      <w:r>
        <w:rPr>
          <w:rFonts w:hint="default" w:ascii="Times New Roman" w:hAnsi="Times New Roman" w:eastAsia="方正仿宋_GBK" w:cs="Times New Roman"/>
          <w:color w:val="auto"/>
          <w:sz w:val="32"/>
          <w:szCs w:val="32"/>
          <w:u w:val="none"/>
        </w:rPr>
        <w:t>牵头组织开展年度监测，妇儿工委成员单位、相关机构及有关部门向</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auto"/>
          <w:sz w:val="32"/>
          <w:szCs w:val="32"/>
          <w:u w:val="none"/>
        </w:rPr>
        <w:t>统计</w:t>
      </w:r>
      <w:r>
        <w:rPr>
          <w:rFonts w:hint="default" w:ascii="Times New Roman" w:hAnsi="Times New Roman" w:eastAsia="方正仿宋_GBK" w:cs="Times New Roman"/>
          <w:color w:val="auto"/>
          <w:sz w:val="32"/>
          <w:szCs w:val="32"/>
          <w:u w:val="none"/>
          <w:lang w:val="en-US" w:eastAsia="zh-CN"/>
        </w:rPr>
        <w:t>局</w:t>
      </w:r>
      <w:r>
        <w:rPr>
          <w:rFonts w:hint="default" w:ascii="Times New Roman" w:hAnsi="Times New Roman" w:eastAsia="方正仿宋_GBK" w:cs="Times New Roman"/>
          <w:color w:val="auto"/>
          <w:sz w:val="32"/>
          <w:szCs w:val="32"/>
          <w:u w:val="none"/>
        </w:rPr>
        <w:t>报送年度监测数据，及时收集、分析反映儿童发展状况的相关数据和信息。</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妇儿工委组织开展中期和终期评估，妇儿工委成员单位、相关机构及有关部门向</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default" w:ascii="Times New Roman" w:hAnsi="Times New Roman" w:eastAsia="方正楷体_GBK" w:cs="Times New Roman"/>
          <w:color w:val="auto"/>
          <w:sz w:val="32"/>
          <w:szCs w:val="32"/>
          <w:u w:val="none"/>
        </w:rPr>
      </w:pPr>
      <w:bookmarkStart w:id="33" w:name="_Toc870"/>
      <w:r>
        <w:rPr>
          <w:rFonts w:hint="default" w:ascii="Times New Roman" w:hAnsi="Times New Roman" w:eastAsia="方正楷体_GBK" w:cs="Times New Roman"/>
          <w:color w:val="auto"/>
          <w:sz w:val="32"/>
          <w:szCs w:val="32"/>
          <w:u w:val="none"/>
        </w:rPr>
        <w:t>（二）加强监测评估工作组织领导。</w:t>
      </w:r>
      <w:bookmarkEnd w:id="3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妇儿工委设立监测评估领导小组，由</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auto"/>
          <w:sz w:val="32"/>
          <w:szCs w:val="32"/>
          <w:u w:val="none"/>
        </w:rPr>
        <w:t>妇儿工委及相关部门负责人组成，负责组织领导监测评估工作，审批监测评估方案，审核监测评估报告等。领导小组下设监测组和评估组。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监测组由</w:t>
      </w:r>
      <w:r>
        <w:rPr>
          <w:rFonts w:hint="default" w:ascii="Times New Roman" w:hAnsi="Times New Roman" w:eastAsia="方正仿宋_GBK" w:cs="Times New Roman"/>
          <w:color w:val="auto"/>
          <w:sz w:val="32"/>
          <w:szCs w:val="32"/>
          <w:u w:val="none"/>
          <w:lang w:val="en-US" w:eastAsia="zh-CN"/>
        </w:rPr>
        <w:t>市</w:t>
      </w:r>
      <w:r>
        <w:rPr>
          <w:rFonts w:hint="default" w:ascii="Times New Roman" w:hAnsi="Times New Roman" w:eastAsia="方正仿宋_GBK" w:cs="Times New Roman"/>
          <w:color w:val="auto"/>
          <w:sz w:val="32"/>
          <w:szCs w:val="32"/>
          <w:u w:val="none"/>
        </w:rPr>
        <w:t>统计</w:t>
      </w:r>
      <w:r>
        <w:rPr>
          <w:rFonts w:hint="default" w:ascii="Times New Roman" w:hAnsi="Times New Roman" w:eastAsia="方正仿宋_GBK" w:cs="Times New Roman"/>
          <w:color w:val="auto"/>
          <w:sz w:val="32"/>
          <w:szCs w:val="32"/>
          <w:u w:val="none"/>
          <w:lang w:val="en-US" w:eastAsia="zh-CN"/>
        </w:rPr>
        <w:t>局</w:t>
      </w:r>
      <w:r>
        <w:rPr>
          <w:rFonts w:hint="default" w:ascii="Times New Roman" w:hAnsi="Times New Roman" w:eastAsia="方正仿宋_GBK" w:cs="Times New Roman"/>
          <w:color w:val="auto"/>
          <w:sz w:val="32"/>
          <w:szCs w:val="32"/>
          <w:u w:val="none"/>
        </w:rPr>
        <w:t>牵头，由相关部门负责规划统计监测人员组成，负责规划监测工作的组织、指导和培训，制定监测方案、监测指标体系，收集、分析数据和信息，向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妇儿工委提交年度、中期和终期监测报告，编辑出版妇女儿童统计资料等。监测组成员负责统筹协调本部门规划实施监测、分析、数据上报、分性别分年龄指标完善等工作。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3.</w:t>
      </w:r>
      <w:r>
        <w:rPr>
          <w:rFonts w:hint="default" w:ascii="Times New Roman" w:hAnsi="Times New Roman" w:eastAsia="方正仿宋_GBK" w:cs="Times New Roman"/>
          <w:color w:val="auto"/>
          <w:sz w:val="32"/>
          <w:szCs w:val="32"/>
          <w:u w:val="none"/>
        </w:rPr>
        <w:t>评估组由</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妇儿工委办公室牵头，由相关部门负责规划实施的人员组成，负责评估工作的组织、指导和培训，制定评估方案，组织开展评估工作，</w:t>
      </w:r>
      <w:r>
        <w:rPr>
          <w:rFonts w:hint="default" w:ascii="Times New Roman" w:hAnsi="Times New Roman" w:eastAsia="方正仿宋_GBK" w:cs="Times New Roman"/>
          <w:color w:val="000000" w:themeColor="text1"/>
          <w:sz w:val="32"/>
          <w:szCs w:val="32"/>
          <w:u w:val="none"/>
          <w14:textFill>
            <w14:solidFill>
              <w14:schemeClr w14:val="tx1"/>
            </w14:solidFill>
          </w14:textFill>
        </w:rPr>
        <w:t>向</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w:t>
      </w:r>
      <w:r>
        <w:rPr>
          <w:rFonts w:hint="default" w:ascii="Times New Roman" w:hAnsi="Times New Roman" w:eastAsia="方正仿宋_GBK" w:cs="Times New Roman"/>
          <w:color w:val="000000" w:themeColor="text1"/>
          <w:sz w:val="32"/>
          <w:szCs w:val="32"/>
          <w:u w:val="none"/>
          <w14:textFill>
            <w14:solidFill>
              <w14:schemeClr w14:val="tx1"/>
            </w14:solidFill>
          </w14:textFill>
        </w:rPr>
        <w:t>妇儿工委提交</w:t>
      </w:r>
      <w:r>
        <w:rPr>
          <w:rFonts w:hint="default" w:ascii="Times New Roman" w:hAnsi="Times New Roman" w:eastAsia="方正仿宋_GBK" w:cs="Times New Roman"/>
          <w:color w:val="auto"/>
          <w:sz w:val="32"/>
          <w:szCs w:val="32"/>
          <w:u w:val="none"/>
        </w:rPr>
        <w:t>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b w:val="0"/>
          <w:bCs w:val="0"/>
          <w:color w:val="auto"/>
          <w:sz w:val="32"/>
          <w:szCs w:val="32"/>
          <w:u w:val="none"/>
        </w:rPr>
        <w:t>（三）加强儿童发展统计监测工作。</w:t>
      </w:r>
      <w:r>
        <w:rPr>
          <w:rFonts w:hint="default" w:ascii="Times New Roman" w:hAnsi="Times New Roman" w:eastAsia="方正仿宋_GBK" w:cs="Times New Roman"/>
          <w:color w:val="auto"/>
          <w:sz w:val="32"/>
          <w:szCs w:val="32"/>
          <w:u w:val="none"/>
        </w:rPr>
        <w:t>规范完善儿童发展统计监测指标体系，根据需要调整扩充儿童发展统计指标，纳入部门常规统计以及统计调查制度，加强部门分年龄统计工作，完善儿童发展指数，推进儿童发展统计监测制度化建设。</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市、乡镇（街道）二</w:t>
      </w:r>
      <w:r>
        <w:rPr>
          <w:rFonts w:hint="default" w:ascii="Times New Roman" w:hAnsi="Times New Roman" w:eastAsia="方正仿宋_GBK" w:cs="Times New Roman"/>
          <w:color w:val="auto"/>
          <w:sz w:val="32"/>
          <w:szCs w:val="32"/>
          <w:u w:val="none"/>
        </w:rPr>
        <w:t>级建立完善儿童发展统计监测数据库，逐步实现</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color w:val="auto"/>
          <w:sz w:val="32"/>
          <w:szCs w:val="32"/>
          <w:u w:val="none"/>
        </w:rPr>
        <w:t>级数据互联互通。鼓励支持相关部门对儿童发展缺项数据开展专项统计调查。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b w:val="0"/>
          <w:bCs w:val="0"/>
          <w:color w:val="auto"/>
          <w:sz w:val="32"/>
          <w:szCs w:val="32"/>
          <w:u w:val="none"/>
        </w:rPr>
        <w:t>（四）提升监测评估工作能力和水平。</w:t>
      </w:r>
      <w:r>
        <w:rPr>
          <w:rFonts w:hint="default" w:ascii="Times New Roman" w:hAnsi="Times New Roman" w:eastAsia="方正仿宋_GBK" w:cs="Times New Roman"/>
          <w:color w:val="auto"/>
          <w:sz w:val="32"/>
          <w:szCs w:val="32"/>
          <w:u w:val="none"/>
        </w:rPr>
        <w:t>加强监测评估工作培训和部门协作，规范监测数据收集渠道、报送方式，提高数据质量。运用互联网和大数据等技术，丰富儿童发展和分年龄统计信息。科学设计评估方案和评估方法，建立第三方评估的工作机制，提升监测评估工作科学化、标准化、专业化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楷体_GBK" w:cs="Times New Roman"/>
          <w:b w:val="0"/>
          <w:bCs w:val="0"/>
          <w:color w:val="auto"/>
          <w:sz w:val="32"/>
          <w:szCs w:val="32"/>
          <w:u w:val="none"/>
        </w:rPr>
        <w:t>（五）有效利用监测评估成果。</w:t>
      </w:r>
      <w:r>
        <w:rPr>
          <w:rFonts w:hint="default" w:ascii="Times New Roman" w:hAnsi="Times New Roman" w:eastAsia="方正仿宋_GBK" w:cs="Times New Roman"/>
          <w:color w:val="auto"/>
          <w:sz w:val="32"/>
          <w:szCs w:val="32"/>
          <w:u w:val="none"/>
        </w:rPr>
        <w:t>发挥监测评估结果服务决策的作用，定期向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市</w:t>
      </w:r>
      <w:r>
        <w:rPr>
          <w:rFonts w:hint="default" w:ascii="Times New Roman" w:hAnsi="Times New Roman" w:eastAsia="方正仿宋_GBK" w:cs="Times New Roman"/>
          <w:color w:val="auto"/>
          <w:sz w:val="32"/>
          <w:szCs w:val="32"/>
          <w:u w:val="none"/>
        </w:rPr>
        <w:t>人民政府及相关部门报送监测评估情况，为决策提供依据。提高对数据的管理、分析及应用的能力，规范数据信息的收集和发布，建立监测评估报告交流、反馈和发布机制，逐步实现数据资源共享。加强对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default" w:ascii="Times New Roman" w:hAnsi="Times New Roman" w:cs="Times New Roman"/>
        </w:rPr>
      </w:pPr>
    </w:p>
    <w:sectPr>
      <w:footerReference r:id="rId8" w:type="default"/>
      <w:pgSz w:w="11910" w:h="16840"/>
      <w:pgMar w:top="1701" w:right="1474" w:bottom="1701" w:left="1587" w:header="1134" w:footer="85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rPr>
                        <w:rFonts w:hint="default"/>
                        <w:lang w:eastAsia="zh-CN"/>
                      </w:rPr>
                    </w:pP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3684905</wp:posOffset>
              </wp:positionH>
              <wp:positionV relativeFrom="page">
                <wp:posOffset>9615170</wp:posOffset>
              </wp:positionV>
              <wp:extent cx="19177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91770" cy="152400"/>
                      </a:xfrm>
                      <a:prstGeom prst="rect">
                        <a:avLst/>
                      </a:prstGeom>
                      <a:noFill/>
                      <a:ln>
                        <a:noFill/>
                      </a:ln>
                    </wps:spPr>
                    <wps:txbx>
                      <w:txbxContent>
                        <w:p>
                          <w:pPr>
                            <w:spacing w:before="12"/>
                            <w:ind w:left="60" w:right="0" w:firstLine="0"/>
                            <w:jc w:val="left"/>
                            <w:rPr>
                              <w:rFonts w:hint="eastAsia" w:ascii="Times New Roman" w:eastAsia="仿宋_GB2312"/>
                              <w:sz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290.15pt;margin-top:757.1pt;height:12pt;width:15.1pt;mso-position-horizontal-relative:page;mso-position-vertical-relative:page;z-index:-251657216;mso-width-relative:page;mso-height-relative:page;" filled="f" stroked="f" coordsize="21600,21600" o:gfxdata="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VtNLdoAAAANAQAADwAAAAAAAAABACAAAAAiAAAAZHJzL2Rvd25yZXYueG1sUEsB&#10;AhQAFAAAAAgAh07iQLcHldm6AQAAcwMAAA4AAAAAAAAAAQAgAAAAKQEAAGRycy9lMm9Eb2MueG1s&#10;UEsFBgAAAAAGAAYAWQEAAFUFAAAAAA==&#10;">
              <v:fill on="f" focussize="0,0"/>
              <v:stroke on="f"/>
              <v:imagedata o:title=""/>
              <o:lock v:ext="edit" aspectratio="f"/>
              <v:textbox inset="0mm,0mm,0mm,0mm">
                <w:txbxContent>
                  <w:p>
                    <w:pPr>
                      <w:spacing w:before="12"/>
                      <w:ind w:left="60" w:right="0" w:firstLine="0"/>
                      <w:jc w:val="left"/>
                      <w:rPr>
                        <w:rFonts w:hint="eastAsia" w:ascii="Times New Roman" w:eastAsia="仿宋_GB2312"/>
                        <w:sz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-415925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2.75pt;height:144pt;width:144pt;mso-position-horizontal:outside;mso-position-horizontal-relative:margin;mso-wrap-style:none;z-index:251661312;mso-width-relative:page;mso-height-relative:page;" filled="f" stroked="f" coordsize="21600,21600" o:gfxdata="UEsDBAoAAAAAAIdO4kAAAAAAAAAAAAAAAAAEAAAAZHJzL1BLAwQUAAAACACHTuJAz1EsI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DaZhkIltM858uRhzTN&#10;QFal/F+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9RLCP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default"/>
                        <w:lang w:eastAsia="zh-CN"/>
                      </w:rPr>
                    </w:pP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3684905</wp:posOffset>
              </wp:positionH>
              <wp:positionV relativeFrom="page">
                <wp:posOffset>9615170</wp:posOffset>
              </wp:positionV>
              <wp:extent cx="19177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1770" cy="152400"/>
                      </a:xfrm>
                      <a:prstGeom prst="rect">
                        <a:avLst/>
                      </a:prstGeom>
                      <a:noFill/>
                      <a:ln>
                        <a:noFill/>
                      </a:ln>
                    </wps:spPr>
                    <wps:txbx>
                      <w:txbxContent>
                        <w:p>
                          <w:pPr>
                            <w:spacing w:before="12"/>
                            <w:ind w:left="60" w:right="0" w:firstLine="0"/>
                            <w:jc w:val="left"/>
                            <w:rPr>
                              <w:rFonts w:hint="eastAsia" w:ascii="Times New Roman" w:eastAsia="仿宋_GB2312"/>
                              <w:sz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290.15pt;margin-top:757.1pt;height:12pt;width:15.1pt;mso-position-horizontal-relative:page;mso-position-vertical-relative:page;z-index:-251657216;mso-width-relative:page;mso-height-relative:page;" filled="f" stroked="f" coordsize="21600,21600" o:gfxdata="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VtNLdoAAAANAQAADwAAAAAAAAABACAAAAAiAAAAZHJzL2Rvd25yZXYueG1sUEsB&#10;AhQAFAAAAAgAh07iQEa/LLC6AQAAcQMAAA4AAAAAAAAAAQAgAAAAKQEAAGRycy9lMm9Eb2MueG1s&#10;UEsFBgAAAAAGAAYAWQEAAFUFAAAAAA==&#10;">
              <v:fill on="f" focussize="0,0"/>
              <v:stroke on="f"/>
              <v:imagedata o:title=""/>
              <o:lock v:ext="edit" aspectratio="f"/>
              <v:textbox inset="0mm,0mm,0mm,0mm">
                <w:txbxContent>
                  <w:p>
                    <w:pPr>
                      <w:spacing w:before="12"/>
                      <w:ind w:left="60" w:right="0" w:firstLine="0"/>
                      <w:jc w:val="left"/>
                      <w:rPr>
                        <w:rFonts w:hint="eastAsia" w:ascii="Times New Roman" w:eastAsia="仿宋_GB2312"/>
                        <w:sz w:val="1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673D1"/>
    <w:multiLevelType w:val="singleLevel"/>
    <w:tmpl w:val="B3F673D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NTRlYzQ3MmM2ZTBlYjNjMDMyMWE3MzZjNWQxOTQifQ=="/>
  </w:docVars>
  <w:rsids>
    <w:rsidRoot w:val="00000000"/>
    <w:rsid w:val="00797215"/>
    <w:rsid w:val="00AC7666"/>
    <w:rsid w:val="01E6089F"/>
    <w:rsid w:val="034C2D71"/>
    <w:rsid w:val="04FB1B2D"/>
    <w:rsid w:val="057D448B"/>
    <w:rsid w:val="071E227F"/>
    <w:rsid w:val="085A0B59"/>
    <w:rsid w:val="096912E0"/>
    <w:rsid w:val="0A964E2B"/>
    <w:rsid w:val="0BEA03F6"/>
    <w:rsid w:val="0C647AB4"/>
    <w:rsid w:val="0CFC764A"/>
    <w:rsid w:val="0D454D12"/>
    <w:rsid w:val="0DCB2094"/>
    <w:rsid w:val="0E017E1A"/>
    <w:rsid w:val="0F510C06"/>
    <w:rsid w:val="100202A7"/>
    <w:rsid w:val="10834CF8"/>
    <w:rsid w:val="14B82AE0"/>
    <w:rsid w:val="16070B4C"/>
    <w:rsid w:val="16345D7D"/>
    <w:rsid w:val="1687243C"/>
    <w:rsid w:val="170A5D9D"/>
    <w:rsid w:val="1949547F"/>
    <w:rsid w:val="1BB54751"/>
    <w:rsid w:val="1BD060C2"/>
    <w:rsid w:val="1C801956"/>
    <w:rsid w:val="1CC87CD8"/>
    <w:rsid w:val="1DA41EFD"/>
    <w:rsid w:val="1DD837C4"/>
    <w:rsid w:val="1DE92292"/>
    <w:rsid w:val="200513A8"/>
    <w:rsid w:val="20737435"/>
    <w:rsid w:val="211830F1"/>
    <w:rsid w:val="212C1E20"/>
    <w:rsid w:val="227063FC"/>
    <w:rsid w:val="22DF0BB4"/>
    <w:rsid w:val="236D6574"/>
    <w:rsid w:val="237902FC"/>
    <w:rsid w:val="23804785"/>
    <w:rsid w:val="23D42D7C"/>
    <w:rsid w:val="2400149D"/>
    <w:rsid w:val="2411784A"/>
    <w:rsid w:val="244C0CA8"/>
    <w:rsid w:val="252430DD"/>
    <w:rsid w:val="25C62206"/>
    <w:rsid w:val="25D7537A"/>
    <w:rsid w:val="2972203C"/>
    <w:rsid w:val="29AB21A8"/>
    <w:rsid w:val="2A3A4946"/>
    <w:rsid w:val="2BC0659B"/>
    <w:rsid w:val="2C7F5DC0"/>
    <w:rsid w:val="2D1A3593"/>
    <w:rsid w:val="2D7A2FB3"/>
    <w:rsid w:val="2D7D02E2"/>
    <w:rsid w:val="304A518C"/>
    <w:rsid w:val="30DA1082"/>
    <w:rsid w:val="32B604B5"/>
    <w:rsid w:val="33FC3580"/>
    <w:rsid w:val="35940451"/>
    <w:rsid w:val="35AB7DCE"/>
    <w:rsid w:val="35EA35A1"/>
    <w:rsid w:val="3A112A3C"/>
    <w:rsid w:val="3C1F4EFA"/>
    <w:rsid w:val="3D572F00"/>
    <w:rsid w:val="41004EC6"/>
    <w:rsid w:val="42510021"/>
    <w:rsid w:val="42C33B3A"/>
    <w:rsid w:val="44B63C01"/>
    <w:rsid w:val="45DD6459"/>
    <w:rsid w:val="45FB5F6E"/>
    <w:rsid w:val="48545264"/>
    <w:rsid w:val="49231ED7"/>
    <w:rsid w:val="49571520"/>
    <w:rsid w:val="49AD3D74"/>
    <w:rsid w:val="4D186C8B"/>
    <w:rsid w:val="4D287BE3"/>
    <w:rsid w:val="4DFF7FC1"/>
    <w:rsid w:val="4ED122A7"/>
    <w:rsid w:val="4F0F24A1"/>
    <w:rsid w:val="4F6227EC"/>
    <w:rsid w:val="4FA1609C"/>
    <w:rsid w:val="52956946"/>
    <w:rsid w:val="529C567E"/>
    <w:rsid w:val="539A6DB1"/>
    <w:rsid w:val="55167989"/>
    <w:rsid w:val="553E73B7"/>
    <w:rsid w:val="58343930"/>
    <w:rsid w:val="583530EB"/>
    <w:rsid w:val="586D631E"/>
    <w:rsid w:val="58B04FD9"/>
    <w:rsid w:val="5BF312F7"/>
    <w:rsid w:val="5D2B07C5"/>
    <w:rsid w:val="5DF10A32"/>
    <w:rsid w:val="5EA13E83"/>
    <w:rsid w:val="609453AF"/>
    <w:rsid w:val="6140085C"/>
    <w:rsid w:val="617172B0"/>
    <w:rsid w:val="626B0341"/>
    <w:rsid w:val="642A2FD4"/>
    <w:rsid w:val="64371296"/>
    <w:rsid w:val="6445432C"/>
    <w:rsid w:val="64F83AA0"/>
    <w:rsid w:val="656D2C1D"/>
    <w:rsid w:val="6980059A"/>
    <w:rsid w:val="6A1C4F2A"/>
    <w:rsid w:val="6B2006C2"/>
    <w:rsid w:val="6B560745"/>
    <w:rsid w:val="6C4C20AE"/>
    <w:rsid w:val="6CF46AC5"/>
    <w:rsid w:val="6E2B2216"/>
    <w:rsid w:val="6EC134E8"/>
    <w:rsid w:val="6F6D2614"/>
    <w:rsid w:val="71167D28"/>
    <w:rsid w:val="712D6541"/>
    <w:rsid w:val="712F69CE"/>
    <w:rsid w:val="724E23C4"/>
    <w:rsid w:val="73842903"/>
    <w:rsid w:val="763F15B0"/>
    <w:rsid w:val="776A38EA"/>
    <w:rsid w:val="78751E35"/>
    <w:rsid w:val="78816B44"/>
    <w:rsid w:val="78AD48D5"/>
    <w:rsid w:val="792A06F6"/>
    <w:rsid w:val="7AF34642"/>
    <w:rsid w:val="7B5709DA"/>
    <w:rsid w:val="7D6E32B0"/>
    <w:rsid w:val="7D8401C7"/>
    <w:rsid w:val="7F4D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right="160"/>
      <w:jc w:val="center"/>
      <w:outlineLvl w:val="1"/>
    </w:pPr>
    <w:rPr>
      <w:rFonts w:ascii="方正大标宋简体" w:hAnsi="方正大标宋简体" w:eastAsia="方正大标宋简体" w:cs="方正大标宋简体"/>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8"/>
    </w:pPr>
    <w:rPr>
      <w:rFonts w:ascii="仿宋_GB2312" w:hAnsi="仿宋_GB2312" w:eastAsia="仿宋_GB2312" w:cs="仿宋_GB2312"/>
      <w:sz w:val="32"/>
      <w:szCs w:val="32"/>
    </w:rPr>
  </w:style>
  <w:style w:type="paragraph" w:styleId="4">
    <w:name w:val="toc 3"/>
    <w:basedOn w:val="1"/>
    <w:next w:val="1"/>
    <w:qFormat/>
    <w:uiPriority w:val="1"/>
    <w:pPr>
      <w:spacing w:before="173"/>
      <w:ind w:left="747"/>
    </w:pPr>
    <w:rPr>
      <w:rFonts w:ascii="楷体_GB2312" w:hAnsi="楷体_GB2312" w:eastAsia="楷体_GB2312" w:cs="楷体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130"/>
      <w:ind w:right="168"/>
      <w:jc w:val="center"/>
    </w:pPr>
    <w:rPr>
      <w:rFonts w:ascii="黑体" w:hAnsi="黑体" w:eastAsia="黑体" w:cs="黑体"/>
      <w:sz w:val="32"/>
      <w:szCs w:val="32"/>
    </w:rPr>
  </w:style>
  <w:style w:type="paragraph" w:styleId="8">
    <w:name w:val="toc 4"/>
    <w:basedOn w:val="1"/>
    <w:next w:val="1"/>
    <w:qFormat/>
    <w:uiPriority w:val="1"/>
    <w:pPr>
      <w:spacing w:before="171"/>
      <w:ind w:left="1388"/>
    </w:pPr>
    <w:rPr>
      <w:rFonts w:ascii="仿宋_GB2312" w:hAnsi="仿宋_GB2312" w:eastAsia="仿宋_GB2312" w:cs="仿宋_GB2312"/>
      <w:sz w:val="32"/>
      <w:szCs w:val="32"/>
    </w:rPr>
  </w:style>
  <w:style w:type="paragraph" w:styleId="9">
    <w:name w:val="toc 2"/>
    <w:basedOn w:val="1"/>
    <w:next w:val="1"/>
    <w:qFormat/>
    <w:uiPriority w:val="1"/>
    <w:pPr>
      <w:spacing w:before="170"/>
      <w:ind w:left="108"/>
    </w:pPr>
    <w:rPr>
      <w:rFonts w:ascii="黑体" w:hAnsi="黑体" w:eastAsia="黑体" w:cs="黑体"/>
      <w:sz w:val="32"/>
      <w:szCs w:val="32"/>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 w:type="paragraph" w:customStyle="1" w:styleId="14">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30177</Words>
  <Characters>30680</Characters>
  <Lines>0</Lines>
  <Paragraphs>0</Paragraphs>
  <TotalTime>2</TotalTime>
  <ScaleCrop>false</ScaleCrop>
  <LinksUpToDate>false</LinksUpToDate>
  <CharactersWithSpaces>38757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菜根谭</cp:lastModifiedBy>
  <cp:lastPrinted>2022-11-28T08:40:00Z</cp:lastPrinted>
  <dcterms:modified xsi:type="dcterms:W3CDTF">2022-11-30T09:07:17Z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ECBD350A3D4747C0972FE2F79CE72BAC</vt:lpwstr>
  </property>
</Properties>
</file>