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Times New Roman" w:hAnsi="Times New Roman" w:eastAsia="方正小标宋简体" w:cs="方正小标宋简体"/>
          <w:sz w:val="44"/>
          <w:szCs w:val="44"/>
        </w:rPr>
      </w:pPr>
      <w:bookmarkStart w:id="0" w:name="_GoBack"/>
      <w:bookmarkEnd w:id="0"/>
      <w:r>
        <w:rPr>
          <w:rFonts w:hint="eastAsia" w:ascii="Times New Roman" w:hAnsi="Times New Roman" w:eastAsia="方正小标宋简体" w:cs="方正小标宋简体"/>
          <w:color w:val="00000A"/>
          <w:kern w:val="2"/>
          <w:sz w:val="44"/>
          <w:szCs w:val="44"/>
          <w:lang w:val="en-US" w:eastAsia="zh-CN" w:bidi="hi-IN"/>
        </w:rPr>
        <w:t>文山市市场监督管理</w:t>
      </w:r>
      <w:r>
        <w:rPr>
          <w:rFonts w:hint="eastAsia" w:ascii="Times New Roman" w:hAnsi="Times New Roman" w:eastAsia="方正小标宋简体" w:cs="方正小标宋简体"/>
          <w:bCs/>
          <w:sz w:val="44"/>
          <w:szCs w:val="44"/>
        </w:rPr>
        <w:t>局</w:t>
      </w:r>
    </w:p>
    <w:p>
      <w:pPr>
        <w:pStyle w:val="2"/>
        <w:keepNext w:val="0"/>
        <w:keepLines w:val="0"/>
        <w:pageBreakBefore w:val="0"/>
        <w:widowControl w:val="0"/>
        <w:numPr>
          <w:ilvl w:val="0"/>
          <w:numId w:val="2"/>
        </w:numPr>
        <w:kinsoku/>
        <w:wordWrap/>
        <w:overflowPunct/>
        <w:topLinePunct w:val="0"/>
        <w:autoSpaceDE/>
        <w:autoSpaceDN/>
        <w:bidi w:val="0"/>
        <w:adjustRightInd/>
        <w:snapToGrid/>
        <w:spacing w:before="0" w:after="0" w:line="640" w:lineRule="exact"/>
        <w:jc w:val="center"/>
        <w:textAlignment w:val="auto"/>
        <w:rPr>
          <w:rFonts w:eastAsia="方正小标宋简体" w:cs="方正小标宋简体"/>
          <w:sz w:val="44"/>
          <w:szCs w:val="44"/>
        </w:rPr>
      </w:pPr>
      <w:r>
        <w:rPr>
          <w:rFonts w:hint="eastAsia" w:eastAsia="方正小标宋简体" w:cs="方正小标宋简体"/>
          <w:sz w:val="44"/>
          <w:szCs w:val="44"/>
          <w:lang w:val="en-US"/>
        </w:rPr>
        <w:t>行政处罚听证告知书</w:t>
      </w:r>
    </w:p>
    <w:p>
      <w:pPr>
        <w:spacing w:before="312" w:beforeLines="100" w:after="312" w:afterLines="100" w:line="420" w:lineRule="exact"/>
        <w:jc w:val="center"/>
        <w:rPr>
          <w:rFonts w:ascii="Times New Roman" w:hAnsi="Times New Roman" w:eastAsia="仿宋_GB2312" w:cs="仿宋"/>
          <w:sz w:val="32"/>
          <w:szCs w:val="32"/>
        </w:rPr>
      </w:pPr>
      <w:r>
        <w:rPr>
          <w:rFonts w:hint="eastAsia" w:ascii="Times New Roman" w:hAnsi="Times New Roman" w:eastAsia="仿宋_GB2312" w:cs="仿宋"/>
          <w:sz w:val="32"/>
          <w:szCs w:val="32"/>
          <w:u w:val="single"/>
          <w:lang w:eastAsia="zh-CN"/>
        </w:rPr>
        <w:t>文</w:t>
      </w:r>
      <w:r>
        <w:rPr>
          <w:rFonts w:hint="eastAsia" w:ascii="Times New Roman" w:hAnsi="Times New Roman" w:eastAsia="仿宋_GB2312" w:cs="仿宋"/>
          <w:sz w:val="32"/>
          <w:szCs w:val="32"/>
        </w:rPr>
        <w:t>市监</w:t>
      </w:r>
      <w:r>
        <w:rPr>
          <w:rFonts w:hint="eastAsia" w:ascii="Times New Roman" w:hAnsi="Times New Roman" w:eastAsia="仿宋_GB2312" w:cs="仿宋"/>
          <w:sz w:val="32"/>
          <w:szCs w:val="32"/>
          <w:u w:val="single"/>
          <w:lang w:eastAsia="zh-CN"/>
        </w:rPr>
        <w:t>听</w:t>
      </w:r>
      <w:r>
        <w:rPr>
          <w:rFonts w:hint="eastAsia" w:ascii="Times New Roman" w:hAnsi="Times New Roman" w:eastAsia="仿宋_GB2312" w:cs="仿宋"/>
          <w:sz w:val="32"/>
          <w:szCs w:val="32"/>
          <w:u w:val="none"/>
          <w:lang w:eastAsia="zh-CN"/>
        </w:rPr>
        <w:t>字</w:t>
      </w:r>
      <w:r>
        <w:rPr>
          <w:rFonts w:hint="eastAsia" w:ascii="Times New Roman" w:hAnsi="Times New Roman" w:eastAsia="仿宋_GB2312" w:cs="仿宋"/>
          <w:sz w:val="32"/>
          <w:szCs w:val="32"/>
        </w:rPr>
        <w:t>〔</w:t>
      </w:r>
      <w:r>
        <w:rPr>
          <w:rFonts w:hint="eastAsia" w:ascii="Times New Roman" w:hAnsi="Times New Roman" w:eastAsia="仿宋_GB2312" w:cs="仿宋"/>
          <w:sz w:val="32"/>
          <w:szCs w:val="32"/>
          <w:u w:val="single"/>
          <w:lang w:val="en-US" w:eastAsia="zh-CN"/>
        </w:rPr>
        <w:t>2021</w:t>
      </w:r>
      <w:r>
        <w:rPr>
          <w:rFonts w:hint="eastAsia" w:ascii="Times New Roman" w:hAnsi="Times New Roman" w:eastAsia="仿宋_GB2312" w:cs="仿宋"/>
          <w:sz w:val="32"/>
          <w:szCs w:val="32"/>
        </w:rPr>
        <w:t>〕</w:t>
      </w:r>
      <w:r>
        <w:rPr>
          <w:rFonts w:hint="eastAsia" w:ascii="Times New Roman" w:hAnsi="Times New Roman" w:eastAsia="仿宋_GB2312" w:cs="仿宋"/>
          <w:sz w:val="32"/>
          <w:szCs w:val="32"/>
          <w:u w:val="single"/>
          <w:lang w:val="en-US" w:eastAsia="zh-CN"/>
        </w:rPr>
        <w:t>10-1-1</w:t>
      </w:r>
      <w:r>
        <w:rPr>
          <w:rFonts w:hint="eastAsia" w:ascii="Times New Roman" w:hAnsi="Times New Roman" w:eastAsia="仿宋_GB2312" w:cs="仿宋"/>
          <w:sz w:val="32"/>
          <w:szCs w:val="32"/>
        </w:rPr>
        <w:t>号</w:t>
      </w:r>
    </w:p>
    <w:p>
      <w:pPr>
        <w:spacing w:after="312" w:afterLines="100" w:line="420" w:lineRule="exact"/>
        <w:rPr>
          <w:rFonts w:ascii="Times New Roman" w:hAnsi="Times New Roman" w:eastAsia="仿宋_GB2312" w:cs="仿宋"/>
          <w:sz w:val="32"/>
          <w:szCs w:val="32"/>
        </w:rPr>
      </w:pPr>
      <w:r>
        <w:rPr>
          <w:rFonts w:hint="eastAsia" w:ascii="Times New Roman" w:hAnsi="Times New Roman" w:eastAsia="仿宋_GB2312" w:cs="仿宋"/>
          <w:sz w:val="32"/>
          <w:szCs w:val="32"/>
          <w:u w:val="single"/>
          <w:lang w:eastAsia="zh-CN"/>
        </w:rPr>
        <w:t>文山市腾达汽车运输有限公司</w:t>
      </w:r>
      <w:r>
        <w:rPr>
          <w:rFonts w:hint="eastAsia" w:ascii="Times New Roman" w:hAnsi="Times New Roman" w:eastAsia="仿宋_GB2312" w:cs="仿宋"/>
          <w:sz w:val="32"/>
          <w:szCs w:val="32"/>
        </w:rPr>
        <w:t>：</w:t>
      </w:r>
    </w:p>
    <w:p>
      <w:pPr>
        <w:spacing w:line="440" w:lineRule="exact"/>
        <w:ind w:firstLine="640" w:firstLineChars="200"/>
        <w:rPr>
          <w:rFonts w:hint="default" w:ascii="Times New Roman" w:hAnsi="Times New Roman" w:eastAsia="仿宋_GB2312" w:cs="仿宋"/>
          <w:sz w:val="32"/>
          <w:szCs w:val="32"/>
          <w:u w:val="single"/>
          <w:lang w:val="en-US" w:eastAsia="zh-CN"/>
        </w:rPr>
      </w:pPr>
      <w:r>
        <w:rPr>
          <w:rFonts w:hint="eastAsia" w:ascii="Times New Roman" w:hAnsi="Times New Roman" w:eastAsia="仿宋_GB2312" w:cs="仿宋"/>
          <w:sz w:val="32"/>
          <w:szCs w:val="32"/>
        </w:rPr>
        <w:t>由本局立案调查的你（单位）涉嫌</w:t>
      </w:r>
      <w:r>
        <w:rPr>
          <w:rFonts w:hint="eastAsia" w:ascii="Times New Roman" w:hAnsi="Times New Roman" w:eastAsia="仿宋_GB2312" w:cs="仿宋"/>
          <w:sz w:val="32"/>
          <w:szCs w:val="32"/>
          <w:u w:val="single"/>
          <w:lang w:eastAsia="zh-CN"/>
        </w:rPr>
        <w:t>未依规定办理变更登记</w:t>
      </w:r>
      <w:r>
        <w:rPr>
          <w:rFonts w:hint="eastAsia" w:ascii="Times New Roman" w:hAnsi="Times New Roman" w:eastAsia="仿宋_GB2312" w:cs="仿宋"/>
          <w:sz w:val="32"/>
          <w:szCs w:val="32"/>
        </w:rPr>
        <w:t>一案，已调查终结。依据《中华人民共和国行政处罚法》第三十一条的规定，现将本局拟作出行政处罚的事实、理由、依据及处罚内容告知如下：</w:t>
      </w:r>
      <w:r>
        <w:rPr>
          <w:rFonts w:hint="eastAsia" w:ascii="Times New Roman" w:hAnsi="Times New Roman" w:eastAsia="仿宋_GB2312" w:cs="仿宋"/>
          <w:sz w:val="32"/>
          <w:szCs w:val="32"/>
          <w:u w:val="single"/>
        </w:rPr>
        <w:t xml:space="preserve"> </w:t>
      </w:r>
      <w:r>
        <w:rPr>
          <w:rFonts w:hint="eastAsia" w:ascii="Times New Roman" w:hAnsi="Times New Roman" w:eastAsia="仿宋_GB2312" w:cs="仿宋"/>
          <w:sz w:val="32"/>
          <w:szCs w:val="32"/>
          <w:u w:val="single"/>
          <w:lang w:eastAsia="zh-CN"/>
        </w:rPr>
        <w:t>经查，于</w:t>
      </w:r>
      <w:r>
        <w:rPr>
          <w:rFonts w:hint="eastAsia" w:ascii="Times New Roman" w:hAnsi="Times New Roman" w:eastAsia="仿宋_GB2312" w:cs="仿宋"/>
          <w:sz w:val="32"/>
          <w:szCs w:val="32"/>
          <w:u w:val="single"/>
          <w:lang w:val="en-US" w:eastAsia="zh-CN"/>
        </w:rPr>
        <w:t>2020年11月23日你公司的</w:t>
      </w:r>
      <w:r>
        <w:rPr>
          <w:rFonts w:hint="eastAsia" w:ascii="仿宋_GB2312" w:hAnsi="仿宋_GB2312" w:eastAsia="仿宋_GB2312" w:cs="仿宋_GB2312"/>
          <w:color w:val="000000"/>
          <w:spacing w:val="-4"/>
          <w:sz w:val="32"/>
          <w:szCs w:val="32"/>
          <w:u w:val="single"/>
          <w:lang w:val="en-US" w:eastAsia="zh-CN"/>
        </w:rPr>
        <w:t>《道路运输经营许可证》被文山市道路运输管理局依法吊销，我局依法分别于2021年1月20日、2021年2月5日向你公司送达了</w:t>
      </w:r>
      <w:r>
        <w:rPr>
          <w:rFonts w:hint="eastAsia" w:ascii="仿宋_GB2312" w:hAnsi="仿宋_GB2312" w:eastAsia="仿宋_GB2312" w:cs="仿宋_GB2312"/>
          <w:color w:val="000000"/>
          <w:sz w:val="32"/>
          <w:szCs w:val="32"/>
          <w:u w:val="single"/>
          <w:lang w:eastAsia="zh-CN"/>
        </w:rPr>
        <w:t>《询问通知书》、《限期提供材料通知书》《变更登记告知书》并多次通过电话、彩信等方式通知法定代表人到我局接受调查并按规定变更你公司未经许可的</w:t>
      </w:r>
      <w:r>
        <w:rPr>
          <w:rFonts w:hint="eastAsia" w:ascii="仿宋_GB2312" w:hAnsi="仿宋_GB2312" w:eastAsia="仿宋_GB2312" w:cs="仿宋_GB2312"/>
          <w:color w:val="000000"/>
          <w:spacing w:val="-4"/>
          <w:sz w:val="32"/>
          <w:szCs w:val="32"/>
          <w:u w:val="single"/>
          <w:lang w:val="en-US" w:eastAsia="zh-CN"/>
        </w:rPr>
        <w:t>道路货物运输</w:t>
      </w:r>
      <w:r>
        <w:rPr>
          <w:rFonts w:hint="eastAsia" w:ascii="仿宋_GB2312" w:hAnsi="仿宋_GB2312" w:eastAsia="仿宋_GB2312" w:cs="仿宋_GB2312"/>
          <w:color w:val="000000"/>
          <w:sz w:val="32"/>
          <w:szCs w:val="32"/>
          <w:u w:val="single"/>
          <w:lang w:eastAsia="zh-CN"/>
        </w:rPr>
        <w:t>经营事项，你公司拒不配合调查。</w:t>
      </w:r>
      <w:r>
        <w:rPr>
          <w:rFonts w:hint="eastAsia" w:ascii="仿宋_GB2312" w:hAnsi="仿宋_GB2312" w:eastAsia="仿宋_GB2312" w:cs="仿宋_GB2312"/>
          <w:color w:val="000000"/>
          <w:sz w:val="32"/>
          <w:szCs w:val="32"/>
          <w:u w:val="single" w:color="auto"/>
          <w:lang w:eastAsia="zh-CN"/>
        </w:rPr>
        <w:t>你公司《道路运输</w:t>
      </w:r>
      <w:r>
        <w:rPr>
          <w:rFonts w:hint="eastAsia" w:ascii="仿宋_GB2312" w:hAnsi="仿宋_GB2312" w:eastAsia="仿宋_GB2312" w:cs="仿宋_GB2312"/>
          <w:sz w:val="32"/>
          <w:szCs w:val="32"/>
          <w:u w:val="single" w:color="auto"/>
          <w:lang w:val="en-US" w:eastAsia="zh-CN"/>
        </w:rPr>
        <w:t>经营许可证</w:t>
      </w:r>
      <w:r>
        <w:rPr>
          <w:rFonts w:hint="eastAsia" w:ascii="仿宋_GB2312" w:hAnsi="仿宋_GB2312" w:eastAsia="仿宋_GB2312" w:cs="仿宋_GB2312"/>
          <w:color w:val="000000"/>
          <w:sz w:val="32"/>
          <w:szCs w:val="32"/>
          <w:u w:val="single" w:color="auto"/>
          <w:lang w:eastAsia="zh-CN"/>
        </w:rPr>
        <w:t>》被</w:t>
      </w:r>
      <w:r>
        <w:rPr>
          <w:rFonts w:hint="eastAsia" w:ascii="仿宋_GB2312" w:hAnsi="仿宋_GB2312" w:eastAsia="仿宋_GB2312" w:cs="仿宋_GB2312"/>
          <w:sz w:val="32"/>
          <w:szCs w:val="32"/>
          <w:u w:val="single" w:color="auto"/>
          <w:lang w:val="en-US" w:eastAsia="zh-CN"/>
        </w:rPr>
        <w:t>文山市道路运输管理局依法</w:t>
      </w:r>
      <w:r>
        <w:rPr>
          <w:rFonts w:hint="eastAsia" w:ascii="仿宋_GB2312" w:hAnsi="仿宋_GB2312" w:eastAsia="仿宋_GB2312" w:cs="仿宋_GB2312"/>
          <w:color w:val="000000"/>
          <w:sz w:val="32"/>
          <w:szCs w:val="32"/>
          <w:u w:val="single" w:color="auto"/>
          <w:lang w:val="en-US" w:eastAsia="zh-CN"/>
        </w:rPr>
        <w:t>吊销</w:t>
      </w:r>
      <w:r>
        <w:rPr>
          <w:rFonts w:hint="eastAsia" w:ascii="仿宋_GB2312" w:hAnsi="仿宋_GB2312" w:eastAsia="仿宋_GB2312" w:cs="仿宋_GB2312"/>
          <w:sz w:val="32"/>
          <w:szCs w:val="32"/>
          <w:u w:val="single" w:color="auto"/>
          <w:lang w:val="en-US" w:eastAsia="zh-CN"/>
        </w:rPr>
        <w:t>未按规定到我局办理变更登记，擅自从事</w:t>
      </w:r>
      <w:r>
        <w:rPr>
          <w:rFonts w:hint="eastAsia" w:ascii="仿宋_GB2312" w:hAnsi="仿宋_GB2312" w:eastAsia="仿宋_GB2312" w:cs="仿宋_GB2312"/>
          <w:sz w:val="32"/>
          <w:szCs w:val="32"/>
          <w:u w:val="single" w:color="auto"/>
          <w:lang w:eastAsia="zh-CN"/>
        </w:rPr>
        <w:t>道路货物运输经营</w:t>
      </w:r>
      <w:r>
        <w:rPr>
          <w:rFonts w:hint="eastAsia" w:ascii="仿宋_GB2312" w:hAnsi="仿宋_GB2312" w:eastAsia="仿宋_GB2312" w:cs="仿宋_GB2312"/>
          <w:sz w:val="32"/>
          <w:szCs w:val="32"/>
          <w:u w:val="single" w:color="auto"/>
          <w:lang w:val="en-US" w:eastAsia="zh-CN"/>
        </w:rPr>
        <w:t>活动的行为违反了《中华人民共和国企业法人登记管理条例》</w:t>
      </w:r>
      <w:r>
        <w:rPr>
          <w:rFonts w:hint="eastAsia" w:ascii="仿宋_GB2312" w:hAnsi="仿宋_GB2312" w:eastAsia="仿宋_GB2312" w:cs="仿宋_GB2312"/>
          <w:color w:val="000000"/>
          <w:sz w:val="32"/>
          <w:szCs w:val="32"/>
          <w:u w:val="single" w:color="auto"/>
          <w:lang w:eastAsia="zh-CN"/>
        </w:rPr>
        <w:t>第三十二条的规定，</w:t>
      </w:r>
      <w:r>
        <w:rPr>
          <w:rFonts w:hint="eastAsia" w:ascii="仿宋_GB2312" w:hAnsi="仿宋_GB2312" w:eastAsia="仿宋_GB2312" w:cs="仿宋_GB2312"/>
          <w:sz w:val="32"/>
          <w:szCs w:val="32"/>
          <w:u w:val="single" w:color="auto"/>
          <w:lang w:val="en-US" w:eastAsia="zh-CN"/>
        </w:rPr>
        <w:t>依据</w:t>
      </w:r>
      <w:r>
        <w:rPr>
          <w:rFonts w:hint="eastAsia" w:ascii="仿宋_GB2312" w:hAnsi="仿宋_GB2312" w:eastAsia="仿宋_GB2312" w:cs="仿宋_GB2312"/>
          <w:color w:val="000000"/>
          <w:sz w:val="32"/>
          <w:szCs w:val="32"/>
          <w:u w:val="single" w:color="auto"/>
          <w:lang w:eastAsia="zh-CN"/>
        </w:rPr>
        <w:t>《中华人民共和国公司登记管理条例》</w:t>
      </w:r>
      <w:r>
        <w:rPr>
          <w:rFonts w:hint="eastAsia" w:ascii="仿宋_GB2312" w:hAnsi="仿宋_GB2312" w:eastAsia="仿宋_GB2312" w:cs="仿宋_GB2312"/>
          <w:i w:val="0"/>
          <w:caps w:val="0"/>
          <w:color w:val="333333"/>
          <w:spacing w:val="0"/>
          <w:sz w:val="32"/>
          <w:szCs w:val="32"/>
          <w:u w:val="single" w:color="auto"/>
          <w:shd w:val="clear" w:fill="FFFFFF"/>
        </w:rPr>
        <w:t>第六十九条</w:t>
      </w:r>
      <w:r>
        <w:rPr>
          <w:rFonts w:hint="eastAsia" w:ascii="仿宋_GB2312" w:hAnsi="仿宋_GB2312" w:eastAsia="仿宋_GB2312" w:cs="仿宋_GB2312"/>
          <w:i w:val="0"/>
          <w:caps w:val="0"/>
          <w:color w:val="333333"/>
          <w:spacing w:val="0"/>
          <w:sz w:val="32"/>
          <w:szCs w:val="32"/>
          <w:u w:val="single" w:color="auto"/>
          <w:shd w:val="clear" w:fill="FFFFFF"/>
          <w:lang w:eastAsia="zh-CN"/>
        </w:rPr>
        <w:t>的规定，我局拟对你公司作出处罚</w:t>
      </w:r>
      <w:r>
        <w:rPr>
          <w:rFonts w:hint="eastAsia" w:ascii="仿宋_GB2312" w:hAnsi="仿宋_GB2312" w:eastAsia="仿宋_GB2312" w:cs="仿宋_GB2312"/>
          <w:i w:val="0"/>
          <w:caps w:val="0"/>
          <w:color w:val="333333"/>
          <w:spacing w:val="0"/>
          <w:sz w:val="32"/>
          <w:szCs w:val="32"/>
          <w:u w:val="single" w:color="auto"/>
          <w:shd w:val="clear" w:fill="FFFFFF"/>
          <w:lang w:val="en-US" w:eastAsia="zh-CN"/>
        </w:rPr>
        <w:t xml:space="preserve"> ：</w:t>
      </w:r>
      <w:r>
        <w:rPr>
          <w:rFonts w:hint="eastAsia" w:ascii="仿宋_GB2312" w:hAnsi="仿宋_GB2312" w:eastAsia="仿宋_GB2312" w:cs="仿宋_GB2312"/>
          <w:sz w:val="32"/>
          <w:szCs w:val="32"/>
          <w:u w:val="single" w:color="auto"/>
          <w:lang w:val="en-US" w:eastAsia="zh-CN"/>
        </w:rPr>
        <w:t>吊销</w:t>
      </w:r>
      <w:r>
        <w:rPr>
          <w:rFonts w:hint="eastAsia" w:ascii="仿宋_GB2312" w:hAnsi="仿宋_GB2312" w:eastAsia="仿宋_GB2312" w:cs="仿宋_GB2312"/>
          <w:color w:val="000000"/>
          <w:sz w:val="32"/>
          <w:szCs w:val="32"/>
          <w:u w:val="single" w:color="auto"/>
          <w:lang w:eastAsia="zh-CN"/>
        </w:rPr>
        <w:t>文山市</w:t>
      </w:r>
      <w:r>
        <w:rPr>
          <w:rFonts w:hint="eastAsia" w:ascii="Times New Roman" w:hAnsi="Times New Roman" w:eastAsia="仿宋_GB2312" w:cs="仿宋"/>
          <w:sz w:val="32"/>
          <w:szCs w:val="32"/>
          <w:u w:val="single"/>
          <w:lang w:eastAsia="zh-CN"/>
        </w:rPr>
        <w:t>腾达汽车运输有限公司</w:t>
      </w:r>
      <w:r>
        <w:rPr>
          <w:rFonts w:hint="eastAsia" w:ascii="仿宋_GB2312" w:hAnsi="仿宋_GB2312" w:eastAsia="仿宋_GB2312" w:cs="仿宋_GB2312"/>
          <w:color w:val="000000"/>
          <w:sz w:val="32"/>
          <w:szCs w:val="32"/>
          <w:u w:val="single" w:color="auto"/>
          <w:lang w:eastAsia="zh-CN"/>
        </w:rPr>
        <w:t>《营业执照》。</w:t>
      </w:r>
      <w:r>
        <w:rPr>
          <w:rFonts w:hint="eastAsia" w:ascii="仿宋_GB2312" w:hAnsi="仿宋_GB2312" w:eastAsia="仿宋_GB2312" w:cs="仿宋_GB2312"/>
          <w:color w:val="000000"/>
          <w:sz w:val="32"/>
          <w:szCs w:val="32"/>
          <w:u w:val="single" w:color="auto"/>
          <w:lang w:val="en-US" w:eastAsia="zh-CN"/>
        </w:rPr>
        <w:t xml:space="preserve">                                                </w:t>
      </w:r>
    </w:p>
    <w:p>
      <w:pPr>
        <w:spacing w:line="440" w:lineRule="exact"/>
        <w:ind w:firstLine="660" w:firstLineChars="200"/>
        <w:rPr>
          <w:rFonts w:ascii="Times New Roman" w:hAnsi="Times New Roman" w:eastAsia="仿宋_GB2312" w:cs="仿宋"/>
          <w:spacing w:val="5"/>
          <w:sz w:val="32"/>
          <w:szCs w:val="32"/>
        </w:rPr>
      </w:pPr>
      <w:r>
        <w:rPr>
          <w:rFonts w:hint="eastAsia" w:ascii="Times New Roman" w:hAnsi="Times New Roman" w:eastAsia="仿宋_GB2312" w:cs="仿宋"/>
          <w:spacing w:val="5"/>
          <w:sz w:val="32"/>
          <w:szCs w:val="32"/>
        </w:rPr>
        <w:t>依据</w:t>
      </w:r>
      <w:r>
        <w:rPr>
          <w:rFonts w:hint="eastAsia" w:ascii="Times New Roman" w:hAnsi="Times New Roman" w:eastAsia="仿宋_GB2312" w:cs="仿宋"/>
          <w:spacing w:val="5"/>
          <w:sz w:val="32"/>
          <w:szCs w:val="32"/>
          <w:u w:val="single"/>
        </w:rPr>
        <w:t>《中华人民共和国行政处罚法》第三十一条、第三十二条、第四十二条第一款，以及《市场监督管理行政处罚听证暂行办法》第五条</w:t>
      </w:r>
      <w:r>
        <w:rPr>
          <w:rFonts w:hint="eastAsia" w:ascii="Times New Roman" w:hAnsi="Times New Roman" w:eastAsia="仿宋_GB2312" w:cs="仿宋"/>
          <w:spacing w:val="5"/>
          <w:sz w:val="32"/>
          <w:szCs w:val="32"/>
        </w:rPr>
        <w:t>的规定，你（单位）</w:t>
      </w:r>
      <w:r>
        <w:rPr>
          <w:rFonts w:hint="eastAsia" w:ascii="Times New Roman" w:hAnsi="Times New Roman" w:eastAsia="仿宋_GB2312" w:cs="仿宋"/>
          <w:spacing w:val="5"/>
          <w:sz w:val="32"/>
          <w:szCs w:val="32"/>
          <w:u w:val="single"/>
        </w:rPr>
        <w:t>有权进行陈述、申辩，并可要求举行听证</w:t>
      </w:r>
      <w:r>
        <w:rPr>
          <w:rFonts w:hint="eastAsia" w:ascii="Times New Roman" w:hAnsi="Times New Roman" w:eastAsia="仿宋_GB2312" w:cs="仿宋"/>
          <w:spacing w:val="5"/>
          <w:sz w:val="32"/>
          <w:szCs w:val="32"/>
        </w:rPr>
        <w:t>。</w:t>
      </w:r>
    </w:p>
    <w:p>
      <w:pPr>
        <w:spacing w:line="44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你（单位）自收到本告知书之日</w:t>
      </w:r>
      <w:r>
        <w:rPr>
          <w:rFonts w:hint="eastAsia" w:ascii="Times New Roman" w:hAnsi="Times New Roman" w:eastAsia="仿宋_GB2312" w:cs="仿宋"/>
          <w:color w:val="000000"/>
          <w:sz w:val="32"/>
          <w:szCs w:val="32"/>
        </w:rPr>
        <w:t>起三个工作日内，</w:t>
      </w:r>
      <w:r>
        <w:rPr>
          <w:rFonts w:hint="eastAsia" w:ascii="Times New Roman" w:hAnsi="Times New Roman" w:eastAsia="仿宋_GB2312" w:cs="仿宋"/>
          <w:sz w:val="32"/>
          <w:szCs w:val="32"/>
          <w:u w:val="single"/>
        </w:rPr>
        <w:t>未行使陈述、申辩权，未要求举行听证的，</w:t>
      </w:r>
      <w:r>
        <w:rPr>
          <w:rFonts w:hint="eastAsia" w:ascii="Times New Roman" w:hAnsi="Times New Roman" w:eastAsia="仿宋_GB2312" w:cs="仿宋"/>
          <w:sz w:val="32"/>
          <w:szCs w:val="32"/>
        </w:rPr>
        <w:t>视为放弃此权利。</w:t>
      </w:r>
    </w:p>
    <w:p>
      <w:pPr>
        <w:spacing w:line="420" w:lineRule="exact"/>
        <w:ind w:firstLine="601"/>
        <w:rPr>
          <w:rFonts w:ascii="Times New Roman" w:hAnsi="Times New Roman" w:eastAsia="仿宋_GB2312" w:cs="仿宋"/>
          <w:sz w:val="32"/>
          <w:szCs w:val="32"/>
        </w:rPr>
      </w:pPr>
    </w:p>
    <w:p>
      <w:pPr>
        <w:spacing w:line="420" w:lineRule="exact"/>
        <w:ind w:firstLine="640" w:firstLineChars="200"/>
        <w:rPr>
          <w:rFonts w:hint="default" w:ascii="Times New Roman" w:hAnsi="Times New Roman" w:eastAsia="仿宋_GB2312" w:cs="仿宋"/>
          <w:sz w:val="32"/>
          <w:szCs w:val="32"/>
          <w:lang w:val="en-US" w:eastAsia="zh-CN"/>
        </w:rPr>
      </w:pPr>
      <w:r>
        <w:rPr>
          <w:rFonts w:hint="eastAsia" w:ascii="Times New Roman" w:hAnsi="Times New Roman" w:eastAsia="仿宋_GB2312" w:cs="仿宋"/>
          <w:sz w:val="32"/>
          <w:szCs w:val="32"/>
        </w:rPr>
        <w:t>联系人：</w:t>
      </w:r>
      <w:r>
        <w:rPr>
          <w:rFonts w:hint="eastAsia" w:ascii="Times New Roman" w:hAnsi="Times New Roman" w:eastAsia="仿宋_GB2312" w:cs="仿宋"/>
          <w:sz w:val="32"/>
          <w:szCs w:val="32"/>
          <w:u w:val="single"/>
          <w:lang w:eastAsia="zh-CN"/>
        </w:rPr>
        <w:t>黄保良、汪凤飞</w:t>
      </w:r>
      <w:r>
        <w:rPr>
          <w:rFonts w:hint="eastAsia" w:ascii="Times New Roman" w:hAnsi="Times New Roman" w:eastAsia="仿宋_GB2312" w:cs="仿宋"/>
          <w:sz w:val="32"/>
          <w:szCs w:val="32"/>
        </w:rPr>
        <w:t xml:space="preserve">  联系电话：</w:t>
      </w:r>
      <w:r>
        <w:rPr>
          <w:rFonts w:hint="eastAsia" w:ascii="Times New Roman" w:hAnsi="Times New Roman" w:eastAsia="仿宋_GB2312" w:cs="仿宋"/>
          <w:sz w:val="32"/>
          <w:szCs w:val="32"/>
          <w:u w:val="single"/>
          <w:lang w:val="en-US" w:eastAsia="zh-CN"/>
        </w:rPr>
        <w:t>18987609876</w:t>
      </w:r>
    </w:p>
    <w:p>
      <w:pPr>
        <w:spacing w:line="420" w:lineRule="exact"/>
        <w:ind w:firstLine="601"/>
        <w:jc w:val="right"/>
        <w:rPr>
          <w:rFonts w:ascii="Times New Roman" w:hAnsi="Times New Roman" w:eastAsia="仿宋_GB2312" w:cs="仿宋"/>
          <w:sz w:val="32"/>
          <w:szCs w:val="32"/>
        </w:rPr>
      </w:pPr>
    </w:p>
    <w:p>
      <w:pPr>
        <w:spacing w:line="500" w:lineRule="exact"/>
        <w:ind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val="en-US" w:eastAsia="zh-CN"/>
        </w:rPr>
        <w:t>文山市市场</w:t>
      </w:r>
      <w:r>
        <w:rPr>
          <w:rFonts w:hint="eastAsia" w:ascii="Times New Roman" w:hAnsi="Times New Roman" w:eastAsia="仿宋_GB2312" w:cs="仿宋"/>
          <w:color w:val="000000"/>
          <w:sz w:val="32"/>
          <w:szCs w:val="32"/>
        </w:rPr>
        <w:t>监督管理局</w:t>
      </w:r>
    </w:p>
    <w:p>
      <w:pPr>
        <w:spacing w:line="500" w:lineRule="exact"/>
        <w:ind w:right="640"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（印 章）</w:t>
      </w:r>
    </w:p>
    <w:p>
      <w:pPr>
        <w:spacing w:line="500" w:lineRule="exact"/>
        <w:ind w:right="640" w:firstLine="600"/>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val="en-US" w:eastAsia="zh-CN"/>
        </w:rPr>
        <w:t>2021</w:t>
      </w:r>
      <w:r>
        <w:rPr>
          <w:rFonts w:hint="eastAsia" w:ascii="Times New Roman" w:hAnsi="Times New Roman" w:eastAsia="仿宋_GB2312" w:cs="仿宋"/>
          <w:color w:val="000000"/>
          <w:sz w:val="32"/>
          <w:szCs w:val="32"/>
        </w:rPr>
        <w:t>年</w:t>
      </w:r>
      <w:r>
        <w:rPr>
          <w:rFonts w:hint="eastAsia" w:ascii="Times New Roman" w:hAnsi="Times New Roman" w:eastAsia="仿宋_GB2312" w:cs="仿宋"/>
          <w:color w:val="000000"/>
          <w:sz w:val="32"/>
          <w:szCs w:val="32"/>
          <w:lang w:val="en-US" w:eastAsia="zh-CN"/>
        </w:rPr>
        <w:t>03</w:t>
      </w:r>
      <w:r>
        <w:rPr>
          <w:rFonts w:hint="eastAsia" w:ascii="Times New Roman" w:hAnsi="Times New Roman" w:eastAsia="仿宋_GB2312" w:cs="仿宋"/>
          <w:color w:val="000000"/>
          <w:sz w:val="32"/>
          <w:szCs w:val="32"/>
        </w:rPr>
        <w:t>月</w:t>
      </w:r>
      <w:r>
        <w:rPr>
          <w:rFonts w:hint="eastAsia" w:ascii="Times New Roman" w:hAnsi="Times New Roman" w:eastAsia="仿宋_GB2312" w:cs="仿宋"/>
          <w:color w:val="000000"/>
          <w:sz w:val="32"/>
          <w:szCs w:val="32"/>
          <w:lang w:val="en-US" w:eastAsia="zh-CN"/>
        </w:rPr>
        <w:t>29</w:t>
      </w:r>
      <w:r>
        <w:rPr>
          <w:rFonts w:hint="eastAsia" w:ascii="Times New Roman" w:hAnsi="Times New Roman" w:eastAsia="仿宋_GB2312" w:cs="仿宋"/>
          <w:color w:val="000000"/>
          <w:sz w:val="32"/>
          <w:szCs w:val="32"/>
        </w:rPr>
        <w:t>日</w:t>
      </w:r>
    </w:p>
    <w:p>
      <w:pPr>
        <w:wordWrap w:val="0"/>
        <w:spacing w:line="520" w:lineRule="exact"/>
        <w:rPr>
          <w:rFonts w:ascii="Times New Roman" w:hAnsi="Times New Roman" w:eastAsia="仿宋_GB2312" w:cs="仿宋"/>
          <w:bCs/>
          <w:color w:val="000000"/>
          <w:sz w:val="32"/>
          <w:szCs w:val="32"/>
        </w:rPr>
      </w:pPr>
      <w:r>
        <w:rPr>
          <w:rFonts w:hint="eastAsia" w:ascii="Times New Roman" w:hAnsi="Times New Roman" w:eastAsia="仿宋_GB2312"/>
          <w:sz w:val="32"/>
        </w:rPr>
        <mc:AlternateContent>
          <mc:Choice Requires="wps">
            <w:drawing>
              <wp:anchor distT="0" distB="0" distL="114300" distR="114300" simplePos="0" relativeHeight="251698176" behindDoc="0" locked="0" layoutInCell="1" allowOverlap="1">
                <wp:simplePos x="0" y="0"/>
                <wp:positionH relativeFrom="column">
                  <wp:posOffset>29210</wp:posOffset>
                </wp:positionH>
                <wp:positionV relativeFrom="paragraph">
                  <wp:posOffset>172085</wp:posOffset>
                </wp:positionV>
                <wp:extent cx="5550535" cy="635"/>
                <wp:effectExtent l="0" t="0" r="0" b="0"/>
                <wp:wrapNone/>
                <wp:docPr id="24" name="直接连接符 24"/>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3pt;margin-top:13.55pt;height:0.05pt;width:437.05pt;z-index:251698176;mso-width-relative:page;mso-height-relative:page;" filled="f" stroked="t"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OHRn11QAAAAcBAAAPAAAAAAAAAAEAIAAAACIA&#10;AABkcnMvZG93bnJldi54bWxQSwECFAAUAAAACACHTuJASXU+g9MBAACPAwAADgAAAAAAAAABACAA&#10;AAAkAQAAZHJzL2Uyb0RvYy54bWxQSwUGAAAAAAYABgBZAQAAaQUAAAAA&#10;">
                <v:fill on="f" focussize="0,0"/>
                <v:stroke weight="1.25pt" color="#000000" joinstyle="round"/>
                <v:imagedata o:title=""/>
                <o:lock v:ext="edit" aspectratio="f"/>
              </v:line>
            </w:pict>
          </mc:Fallback>
        </mc:AlternateContent>
      </w:r>
    </w:p>
    <w:p>
      <w:pPr>
        <w:wordWrap w:val="0"/>
        <w:spacing w:line="520" w:lineRule="exact"/>
        <w:rPr>
          <w:rFonts w:ascii="Times New Roman" w:hAnsi="Times New Roman" w:eastAsia="方正小标宋简体" w:cs="方正小标宋简体"/>
          <w:bCs/>
          <w:sz w:val="28"/>
          <w:szCs w:val="28"/>
          <w:u w:val="thick"/>
        </w:rPr>
      </w:pPr>
      <w:r>
        <w:rPr>
          <w:rFonts w:hint="eastAsia" w:ascii="Times New Roman" w:hAnsi="Times New Roman" w:eastAsia="仿宋_GB2312" w:cs="仿宋"/>
          <w:bCs/>
          <w:color w:val="000000"/>
          <w:sz w:val="32"/>
          <w:szCs w:val="32"/>
        </w:rPr>
        <mc:AlternateContent>
          <mc:Choice Requires="wps">
            <w:drawing>
              <wp:anchor distT="0" distB="0" distL="114300" distR="114300" simplePos="0" relativeHeight="251697152"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27" name="直接连接符 27"/>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638.35pt;height:0.1pt;width:453.75pt;z-index:251697152;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Ivv85HXAAAACgEAAA8AAAAAAAAAAQAg&#10;AAAAIgAAAGRycy9kb3ducmV2LnhtbFBLAQIUABQAAAAIAIdO4kDFvC8a1gEAAI0DAAAOAAAAAAAA&#10;AAEAIAAAACYBAABkcnMvZTJvRG9jLnhtbFBLBQYAAAAABgAGAFkBAABuBQ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u w:val="single"/>
          <w:lang w:eastAsia="zh-CN"/>
        </w:rPr>
        <w:t>两</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u w:val="single"/>
          <w:lang w:eastAsia="zh-CN"/>
        </w:rPr>
        <w:t>一</w:t>
      </w:r>
      <w:r>
        <w:rPr>
          <w:rFonts w:hint="eastAsia" w:ascii="Times New Roman" w:hAnsi="Times New Roman" w:eastAsia="仿宋_GB2312" w:cs="仿宋"/>
          <w:color w:val="000000"/>
          <w:sz w:val="32"/>
          <w:szCs w:val="32"/>
        </w:rPr>
        <w:t>份送达，一份归档。</w:t>
      </w:r>
    </w:p>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ngal">
    <w:panose1 w:val="02040503050203030202"/>
    <w:charset w:val="00"/>
    <w:family w:val="roman"/>
    <w:pitch w:val="default"/>
    <w:sig w:usb0="00008003" w:usb1="00000000" w:usb2="00000000" w:usb3="00000000" w:csb0="00000001"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1">
    <w:nsid w:val="0053208E"/>
    <w:multiLevelType w:val="multilevel"/>
    <w:tmpl w:val="0053208E"/>
    <w:lvl w:ilvl="0" w:tentative="0">
      <w:start w:val="1"/>
      <w:numFmt w:val="none"/>
      <w:pStyle w:val="2"/>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9E6B2B"/>
    <w:rsid w:val="1D0D4346"/>
    <w:rsid w:val="1FFF1C0D"/>
    <w:rsid w:val="37DD43BC"/>
    <w:rsid w:val="76AB40B3"/>
    <w:rsid w:val="7F9E6B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numPr>
        <w:ilvl w:val="0"/>
        <w:numId w:val="1"/>
      </w:numPr>
      <w:spacing w:before="240" w:after="120"/>
      <w:jc w:val="left"/>
      <w:outlineLvl w:val="0"/>
    </w:pPr>
    <w:rPr>
      <w:rFonts w:ascii="Times New Roman" w:hAnsi="Times New Roman" w:cs="Mangal"/>
      <w:color w:val="00000A"/>
      <w:sz w:val="24"/>
      <w:lang w:val="zh-CN" w:bidi="hi-IN"/>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文山州文山市党政机关单位</Company>
  <Pages>1</Pages>
  <Words>0</Words>
  <Characters>0</Characters>
  <Lines>0</Lines>
  <Paragraphs>0</Paragraphs>
  <TotalTime>4</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2019-03-29T00:33:00Z</dcterms:created>
  <dc:creator>lyb</dc:creator>
  <cp:lastModifiedBy>YJ012</cp:lastModifiedBy>
  <cp:lastPrinted>2021-03-29T03:56:00Z</cp:lastPrinted>
  <dcterms:modified xsi:type="dcterms:W3CDTF">2021-03-30T01:36:38Z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