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36"/>
        </w:tabs>
        <w:autoSpaceDN w:val="0"/>
        <w:adjustRightInd w:val="0"/>
        <w:snapToGrid w:val="0"/>
        <w:spacing w:line="500" w:lineRule="exact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附件</w:t>
      </w:r>
      <w:r>
        <w:rPr>
          <w:rFonts w:ascii="Times New Roman" w:hAnsi="Times New Roman" w:eastAsia="方正黑体_GBK"/>
          <w:bCs/>
          <w:sz w:val="32"/>
          <w:szCs w:val="32"/>
        </w:rPr>
        <w:t>1</w:t>
      </w:r>
    </w:p>
    <w:p>
      <w:pPr>
        <w:autoSpaceDN w:val="0"/>
        <w:adjustRightInd w:val="0"/>
        <w:snapToGrid w:val="0"/>
        <w:spacing w:line="5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政府信息公开情况统计表</w:t>
      </w: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</w:t>
      </w:r>
      <w:r>
        <w:rPr>
          <w:rFonts w:ascii="Times New Roman" w:hAnsi="Times New Roman" w:eastAsia="方正楷体_GBK"/>
          <w:sz w:val="32"/>
          <w:szCs w:val="32"/>
        </w:rPr>
        <w:t>2018</w:t>
      </w:r>
      <w:r>
        <w:rPr>
          <w:rFonts w:hint="eastAsia" w:ascii="Times New Roman" w:hAnsi="Times New Roman" w:eastAsia="方正楷体_GBK"/>
          <w:sz w:val="32"/>
          <w:szCs w:val="32"/>
        </w:rPr>
        <w:t>年度）</w:t>
      </w:r>
    </w:p>
    <w:p>
      <w:pPr>
        <w:autoSpaceDN w:val="0"/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autoSpaceDN w:val="0"/>
        <w:adjustRightInd w:val="0"/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填报单位（盖章）：</w:t>
      </w:r>
    </w:p>
    <w:tbl>
      <w:tblPr>
        <w:tblStyle w:val="3"/>
        <w:tblW w:w="7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065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　计　指　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一、主动公开情况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（一）主动公开政府信息数</w:t>
            </w:r>
          </w:p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（不同渠道和方式公开相同信息计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ind w:firstLine="852" w:firstLineChars="300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二、回应解读情况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回应公众关注热点或重大舆情数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（不同方式回应同一热点或舆情计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篇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三、依申请公开情况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八、机构建设和保障经费情况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单位负责人：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核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ascii="Times New Roman" w:hAnsi="Times New Roman" w:eastAsia="方正仿宋_GBK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联系电话：</w:t>
      </w:r>
    </w:p>
    <w:p>
      <w:pPr>
        <w:autoSpaceDN w:val="0"/>
        <w:spacing w:line="520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96"/>
    <w:multiLevelType w:val="multilevel"/>
    <w:tmpl w:val="33DE789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eastAsia" w:ascii="楷体_GB2312" w:eastAsia="楷体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75420"/>
    <w:rsid w:val="0CEB1997"/>
    <w:rsid w:val="362754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文山州文山市党政机关单位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2019-01-08T06:56:00Z</dcterms:created>
  <dc:creator>魏朝仕</dc:creator>
  <cp:lastModifiedBy>魏朝仕</cp:lastModifiedBy>
  <dcterms:modified xsi:type="dcterms:W3CDTF">2019-01-11T01:50:08Z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